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7A48" w14:textId="77777777" w:rsidR="00CE16A0" w:rsidRDefault="00776E2F" w:rsidP="00776E2F">
      <w:pPr>
        <w:tabs>
          <w:tab w:val="left" w:pos="1985"/>
        </w:tabs>
        <w:rPr>
          <w:rFonts w:cstheme="minorHAnsi"/>
          <w:b/>
          <w:sz w:val="24"/>
        </w:rPr>
      </w:pPr>
      <w:bookmarkStart w:id="0" w:name="_Hlk37195073"/>
      <w:bookmarkStart w:id="1" w:name="Title"/>
      <w:bookmarkStart w:id="2" w:name="DocumentFor"/>
      <w:bookmarkEnd w:id="1"/>
      <w:bookmarkEnd w:id="2"/>
      <w:r w:rsidRPr="00776E2F">
        <w:rPr>
          <w:rFonts w:cstheme="minorHAnsi"/>
          <w:b/>
          <w:sz w:val="24"/>
        </w:rPr>
        <w:t>3GPP TSG-RAN WG4 Meeting # 102-e</w:t>
      </w:r>
      <w:r>
        <w:rPr>
          <w:rFonts w:cstheme="minorHAnsi"/>
          <w:b/>
          <w:sz w:val="24"/>
        </w:rPr>
        <w:t xml:space="preserve">                                      R4</w:t>
      </w:r>
      <w:r w:rsidR="005E4240">
        <w:rPr>
          <w:rFonts w:cstheme="minorHAnsi"/>
          <w:b/>
          <w:sz w:val="24"/>
        </w:rPr>
        <w:t>-220</w:t>
      </w:r>
      <w:r w:rsidR="00E3284C">
        <w:rPr>
          <w:rFonts w:cstheme="minorHAnsi"/>
          <w:b/>
          <w:sz w:val="24"/>
        </w:rPr>
        <w:t>4407</w:t>
      </w:r>
    </w:p>
    <w:p w14:paraId="73418E0D" w14:textId="5037921A" w:rsidR="00776E2F" w:rsidRPr="00155774" w:rsidRDefault="00CE16A0" w:rsidP="00776E2F">
      <w:pPr>
        <w:tabs>
          <w:tab w:val="left" w:pos="1985"/>
        </w:tabs>
        <w:rPr>
          <w:rFonts w:cstheme="minorHAnsi"/>
          <w:b/>
          <w:sz w:val="24"/>
        </w:rPr>
      </w:pPr>
      <w:r>
        <w:rPr>
          <w:rFonts w:cstheme="minorHAnsi"/>
          <w:b/>
          <w:sz w:val="24"/>
        </w:rPr>
        <w:t>El</w:t>
      </w:r>
      <w:r w:rsidR="00776E2F" w:rsidRPr="00987933">
        <w:rPr>
          <w:rFonts w:cstheme="minorHAnsi"/>
          <w:b/>
          <w:sz w:val="24"/>
        </w:rPr>
        <w:t xml:space="preserve">ectronic Meeting, </w:t>
      </w:r>
      <w:r w:rsidR="00776E2F" w:rsidRPr="00987933">
        <w:rPr>
          <w:rFonts w:eastAsia="SimSun" w:cstheme="minorHAnsi"/>
          <w:b/>
          <w:sz w:val="24"/>
          <w:szCs w:val="20"/>
          <w:lang w:eastAsia="en-US"/>
        </w:rPr>
        <w:t>February 21 – March 3, 2022</w:t>
      </w:r>
    </w:p>
    <w:p w14:paraId="5CBD807E" w14:textId="297A4E98"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395AB4">
        <w:rPr>
          <w:rFonts w:ascii="Calibri" w:eastAsia="MS Mincho" w:hAnsi="Calibri" w:cs="Calibri"/>
          <w:b/>
          <w:szCs w:val="21"/>
        </w:rPr>
        <w:t>5</w:t>
      </w:r>
      <w:r w:rsidR="007E4D66">
        <w:rPr>
          <w:rFonts w:ascii="Calibri" w:eastAsia="MS Mincho" w:hAnsi="Calibri" w:cs="Calibri"/>
          <w:b/>
          <w:szCs w:val="21"/>
        </w:rPr>
        <w:t>.1</w:t>
      </w:r>
      <w:r w:rsidR="007E4D66" w:rsidRPr="009A6287">
        <w:rPr>
          <w:rFonts w:ascii="Calibri" w:eastAsia="MS Mincho" w:hAnsi="Calibri" w:cs="Calibri"/>
          <w:b/>
          <w:szCs w:val="21"/>
        </w:rPr>
        <w:t>.</w:t>
      </w:r>
      <w:r w:rsidR="005C7B63">
        <w:rPr>
          <w:rFonts w:ascii="Calibri" w:eastAsia="MS Mincho" w:hAnsi="Calibri" w:cs="Calibri"/>
          <w:b/>
          <w:szCs w:val="21"/>
        </w:rPr>
        <w:t>3</w:t>
      </w:r>
      <w:r w:rsidR="007E4D66">
        <w:rPr>
          <w:rFonts w:ascii="Calibri" w:eastAsia="MS Mincho" w:hAnsi="Calibri" w:cs="Calibri"/>
          <w:b/>
          <w:szCs w:val="21"/>
        </w:rPr>
        <w:t>.2.</w:t>
      </w:r>
    </w:p>
    <w:bookmarkEnd w:id="0"/>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38A1BF3" w14:textId="77777777" w:rsidR="00F050D0"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F050D0" w:rsidRPr="00F050D0">
        <w:rPr>
          <w:rFonts w:ascii="Calibri" w:eastAsia="MS Mincho" w:hAnsi="Calibri" w:cs="Calibri"/>
          <w:b/>
          <w:szCs w:val="21"/>
          <w:lang w:val="en-GB" w:eastAsia="en-US"/>
        </w:rPr>
        <w:t>Discussion on Rel16 NR positioning measurement accuracy requirements</w:t>
      </w:r>
    </w:p>
    <w:p w14:paraId="08C7F2BE" w14:textId="17117389"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5BA1461A" w:rsidR="003011EC" w:rsidRDefault="003011EC" w:rsidP="003011EC">
      <w:pPr>
        <w:rPr>
          <w:rFonts w:cstheme="minorHAnsi"/>
        </w:rPr>
      </w:pPr>
      <w:r w:rsidRPr="00645EE9">
        <w:rPr>
          <w:rFonts w:cstheme="minorHAnsi"/>
        </w:rPr>
        <w:t xml:space="preserve">In the </w:t>
      </w:r>
      <w:r w:rsidR="000A6CCF">
        <w:rPr>
          <w:rFonts w:cstheme="minorHAnsi"/>
        </w:rPr>
        <w:t>previous</w:t>
      </w:r>
      <w:r w:rsidRPr="00645EE9">
        <w:rPr>
          <w:rFonts w:cstheme="minorHAnsi"/>
        </w:rPr>
        <w:t xml:space="preserve"> RAN4 meeting</w:t>
      </w:r>
      <w:r>
        <w:rPr>
          <w:rFonts w:cstheme="minorHAnsi"/>
        </w:rPr>
        <w:t xml:space="preserve"> some </w:t>
      </w:r>
      <w:r w:rsidR="00990E41">
        <w:rPr>
          <w:rFonts w:cstheme="minorHAnsi"/>
        </w:rPr>
        <w:t>open issues</w:t>
      </w:r>
      <w:r>
        <w:rPr>
          <w:rFonts w:cstheme="minorHAnsi"/>
        </w:rPr>
        <w:t xml:space="preserve"> </w:t>
      </w:r>
      <w:r w:rsidR="00990E41">
        <w:rPr>
          <w:rFonts w:cstheme="minorHAnsi"/>
        </w:rPr>
        <w:t xml:space="preserve">for the performance requirements were </w:t>
      </w:r>
      <w:r w:rsidR="00346C8B">
        <w:rPr>
          <w:rFonts w:cstheme="minorHAnsi"/>
        </w:rPr>
        <w:t>left</w:t>
      </w:r>
      <w:r w:rsidR="00990E41">
        <w:rPr>
          <w:rFonts w:cstheme="minorHAnsi"/>
        </w:rPr>
        <w:t xml:space="preserve"> in </w:t>
      </w:r>
      <w:r w:rsidRPr="00645EE9">
        <w:rPr>
          <w:rFonts w:cstheme="minorHAnsi"/>
        </w:rPr>
        <w:t>[</w:t>
      </w:r>
      <w:r>
        <w:rPr>
          <w:rFonts w:cstheme="minorHAnsi"/>
        </w:rPr>
        <w:t>1</w:t>
      </w:r>
      <w:r w:rsidRPr="00645EE9">
        <w:rPr>
          <w:rFonts w:cstheme="minorHAnsi"/>
        </w:rPr>
        <w:t>]. In this contribution</w:t>
      </w:r>
      <w:r>
        <w:rPr>
          <w:rFonts w:cstheme="minorHAnsi"/>
        </w:rPr>
        <w:t xml:space="preserve"> we will focus on the discussion of remaining issue below</w:t>
      </w:r>
      <w:r w:rsidRPr="00645EE9">
        <w:rPr>
          <w:rFonts w:cstheme="minorHAnsi"/>
        </w:rPr>
        <w:t xml:space="preserve">. </w:t>
      </w:r>
    </w:p>
    <w:p w14:paraId="30E7B9F7" w14:textId="77777777" w:rsidR="00346C8B" w:rsidRDefault="00346C8B"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RF margin</w:t>
      </w:r>
    </w:p>
    <w:p w14:paraId="28508A26" w14:textId="35A6EC23" w:rsidR="00CA29BC"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 xml:space="preserve">Applicability of </w:t>
      </w:r>
      <w:r w:rsidR="00346C8B">
        <w:rPr>
          <w:rFonts w:ascii="Calibri" w:hAnsi="Calibri" w:cs="Calibri"/>
        </w:rPr>
        <w:t xml:space="preserve">UE Rx-Tx time difference </w:t>
      </w:r>
      <w:r w:rsidRPr="003433C7">
        <w:rPr>
          <w:rFonts w:ascii="Calibri" w:hAnsi="Calibri" w:cs="Calibri"/>
        </w:rPr>
        <w:t xml:space="preserve">accuracy requirements in case of </w:t>
      </w:r>
      <w:proofErr w:type="spellStart"/>
      <w:r w:rsidRPr="003433C7">
        <w:rPr>
          <w:rFonts w:ascii="Calibri" w:hAnsi="Calibri" w:cs="Calibri"/>
        </w:rPr>
        <w:t>N</w:t>
      </w:r>
      <w:r w:rsidRPr="003433C7">
        <w:rPr>
          <w:rFonts w:ascii="Calibri" w:hAnsi="Calibri" w:cs="Calibri"/>
          <w:vertAlign w:val="subscript"/>
        </w:rPr>
        <w:t>TA_offset</w:t>
      </w:r>
      <w:proofErr w:type="spellEnd"/>
      <w:r w:rsidRPr="003433C7">
        <w:rPr>
          <w:rFonts w:ascii="Calibri" w:hAnsi="Calibri" w:cs="Calibri"/>
        </w:rPr>
        <w:t xml:space="preserve"> change</w:t>
      </w:r>
    </w:p>
    <w:p w14:paraId="57713531" w14:textId="1559E3DB" w:rsidR="006443EF" w:rsidRDefault="006443EF" w:rsidP="006443EF">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RSTD accuracy requirements</w:t>
      </w:r>
    </w:p>
    <w:p w14:paraId="2D1288F8" w14:textId="5707C918" w:rsidR="006443EF" w:rsidRPr="0090679F" w:rsidRDefault="006443EF" w:rsidP="006443EF">
      <w:pPr>
        <w:pStyle w:val="ListParagraph"/>
        <w:numPr>
          <w:ilvl w:val="0"/>
          <w:numId w:val="22"/>
        </w:numPr>
        <w:ind w:left="284" w:hanging="284"/>
        <w:rPr>
          <w:b/>
          <w:bCs/>
          <w:u w:val="single"/>
          <w:lang w:val="x-none"/>
        </w:rPr>
      </w:pPr>
      <w:r>
        <w:rPr>
          <w:b/>
          <w:bCs/>
          <w:u w:val="single"/>
        </w:rPr>
        <w:t>RF margin</w:t>
      </w:r>
    </w:p>
    <w:tbl>
      <w:tblPr>
        <w:tblStyle w:val="TableGrid"/>
        <w:tblW w:w="9857" w:type="dxa"/>
        <w:tblLayout w:type="fixed"/>
        <w:tblLook w:val="04A0" w:firstRow="1" w:lastRow="0" w:firstColumn="1" w:lastColumn="0" w:noHBand="0" w:noVBand="1"/>
      </w:tblPr>
      <w:tblGrid>
        <w:gridCol w:w="9857"/>
      </w:tblGrid>
      <w:tr w:rsidR="005C40C4" w14:paraId="14086AD4" w14:textId="77777777" w:rsidTr="002A1B70">
        <w:tc>
          <w:tcPr>
            <w:tcW w:w="8219" w:type="dxa"/>
          </w:tcPr>
          <w:p w14:paraId="51A30D54" w14:textId="77777777" w:rsidR="005C40C4" w:rsidRDefault="005C40C4" w:rsidP="002A1B70">
            <w:pPr>
              <w:rPr>
                <w:i/>
                <w:color w:val="0070C0"/>
              </w:rPr>
            </w:pPr>
            <w:r w:rsidRPr="00C95E70">
              <w:rPr>
                <w:b/>
                <w:bCs/>
                <w:color w:val="0070C0"/>
                <w:highlight w:val="green"/>
              </w:rPr>
              <w:t>Group delay calibration margin for RSTD</w:t>
            </w:r>
          </w:p>
          <w:p w14:paraId="77433EDB" w14:textId="77777777" w:rsidR="005C40C4" w:rsidRPr="00C95E70" w:rsidRDefault="005C40C4" w:rsidP="005C40C4">
            <w:pPr>
              <w:pStyle w:val="ListParagraph"/>
              <w:numPr>
                <w:ilvl w:val="1"/>
                <w:numId w:val="25"/>
              </w:numPr>
              <w:overflowPunct w:val="0"/>
              <w:autoSpaceDE w:val="0"/>
              <w:autoSpaceDN w:val="0"/>
              <w:adjustRightInd w:val="0"/>
              <w:spacing w:after="180"/>
              <w:contextualSpacing w:val="0"/>
              <w:textAlignment w:val="baseline"/>
              <w:rPr>
                <w:highlight w:val="green"/>
              </w:rPr>
            </w:pPr>
            <w:r w:rsidRPr="00C95E70">
              <w:rPr>
                <w:highlight w:val="green"/>
              </w:rPr>
              <w:t>in FR1 when the reference and target PRS resources are in the same PFL (single PFL case)</w:t>
            </w:r>
          </w:p>
          <w:tbl>
            <w:tblPr>
              <w:tblStyle w:val="TableGrid"/>
              <w:tblW w:w="0" w:type="auto"/>
              <w:tblInd w:w="1525" w:type="dxa"/>
              <w:tblLayout w:type="fixed"/>
              <w:tblLook w:val="04A0" w:firstRow="1" w:lastRow="0" w:firstColumn="1" w:lastColumn="0" w:noHBand="0" w:noVBand="1"/>
            </w:tblPr>
            <w:tblGrid>
              <w:gridCol w:w="2018"/>
              <w:gridCol w:w="2018"/>
            </w:tblGrid>
            <w:tr w:rsidR="005C40C4" w14:paraId="2F5DEC72" w14:textId="77777777" w:rsidTr="002A1B70">
              <w:trPr>
                <w:trHeight w:val="520"/>
              </w:trPr>
              <w:tc>
                <w:tcPr>
                  <w:tcW w:w="2018" w:type="dxa"/>
                </w:tcPr>
                <w:p w14:paraId="69CF549D" w14:textId="77777777" w:rsidR="005C40C4" w:rsidRDefault="005C40C4" w:rsidP="002A1B70">
                  <w:pPr>
                    <w:rPr>
                      <w:rFonts w:cstheme="minorHAnsi"/>
                      <w:b/>
                      <w:bCs/>
                      <w:sz w:val="24"/>
                      <w:szCs w:val="24"/>
                    </w:rPr>
                  </w:pPr>
                  <w:r>
                    <w:rPr>
                      <w:rFonts w:cstheme="minorHAnsi"/>
                      <w:b/>
                      <w:bCs/>
                      <w:kern w:val="24"/>
                      <w:sz w:val="24"/>
                      <w:szCs w:val="24"/>
                    </w:rPr>
                    <w:t>PRS BW (MHz)</w:t>
                  </w:r>
                </w:p>
              </w:tc>
              <w:tc>
                <w:tcPr>
                  <w:tcW w:w="2018" w:type="dxa"/>
                </w:tcPr>
                <w:p w14:paraId="51EDEB04" w14:textId="77777777" w:rsidR="005C40C4" w:rsidRDefault="005C40C4" w:rsidP="002A1B70">
                  <w:pPr>
                    <w:rPr>
                      <w:rFonts w:cstheme="minorHAnsi"/>
                      <w:b/>
                      <w:bCs/>
                      <w:sz w:val="24"/>
                      <w:szCs w:val="24"/>
                    </w:rPr>
                  </w:pPr>
                  <w:r>
                    <w:rPr>
                      <w:rFonts w:cstheme="minorHAnsi"/>
                      <w:b/>
                      <w:bCs/>
                      <w:kern w:val="24"/>
                      <w:sz w:val="24"/>
                      <w:szCs w:val="24"/>
                    </w:rPr>
                    <w:t>Margin (Tc)</w:t>
                  </w:r>
                </w:p>
              </w:tc>
            </w:tr>
            <w:tr w:rsidR="005C40C4" w14:paraId="662745D4" w14:textId="77777777" w:rsidTr="002A1B70">
              <w:trPr>
                <w:trHeight w:val="534"/>
              </w:trPr>
              <w:tc>
                <w:tcPr>
                  <w:tcW w:w="2018" w:type="dxa"/>
                </w:tcPr>
                <w:p w14:paraId="41448BC9" w14:textId="77777777" w:rsidR="005C40C4" w:rsidRDefault="005C40C4" w:rsidP="002A1B70">
                  <w:pPr>
                    <w:rPr>
                      <w:rFonts w:cstheme="minorHAnsi"/>
                      <w:b/>
                      <w:bCs/>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5</w:t>
                  </w:r>
                </w:p>
              </w:tc>
              <w:tc>
                <w:tcPr>
                  <w:tcW w:w="2018" w:type="dxa"/>
                </w:tcPr>
                <w:p w14:paraId="7DB36499" w14:textId="77777777" w:rsidR="005C40C4" w:rsidRDefault="005C40C4" w:rsidP="002A1B70">
                  <w:pPr>
                    <w:rPr>
                      <w:rFonts w:cstheme="minorHAnsi"/>
                      <w:b/>
                      <w:bCs/>
                      <w:sz w:val="24"/>
                      <w:szCs w:val="24"/>
                    </w:rPr>
                  </w:pPr>
                  <w:r>
                    <w:rPr>
                      <w:rFonts w:cstheme="minorHAnsi"/>
                      <w:kern w:val="24"/>
                      <w:sz w:val="24"/>
                      <w:szCs w:val="24"/>
                    </w:rPr>
                    <w:t>[TBD]</w:t>
                  </w:r>
                </w:p>
              </w:tc>
            </w:tr>
            <w:tr w:rsidR="005C40C4" w14:paraId="4560E15E" w14:textId="77777777" w:rsidTr="002A1B70">
              <w:trPr>
                <w:trHeight w:val="520"/>
              </w:trPr>
              <w:tc>
                <w:tcPr>
                  <w:tcW w:w="2018" w:type="dxa"/>
                </w:tcPr>
                <w:p w14:paraId="0BAEC6C9" w14:textId="77777777" w:rsidR="005C40C4" w:rsidRDefault="005C40C4" w:rsidP="002A1B70">
                  <w:pPr>
                    <w:rPr>
                      <w:rFonts w:cstheme="minorHAnsi"/>
                      <w:b/>
                      <w:bCs/>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10</w:t>
                  </w:r>
                </w:p>
              </w:tc>
              <w:tc>
                <w:tcPr>
                  <w:tcW w:w="2018" w:type="dxa"/>
                </w:tcPr>
                <w:p w14:paraId="4B0CCEA8" w14:textId="77777777" w:rsidR="005C40C4" w:rsidRDefault="005C40C4" w:rsidP="002A1B70">
                  <w:pPr>
                    <w:rPr>
                      <w:rFonts w:cstheme="minorHAnsi"/>
                      <w:b/>
                      <w:bCs/>
                      <w:sz w:val="24"/>
                      <w:szCs w:val="24"/>
                    </w:rPr>
                  </w:pPr>
                  <w:r>
                    <w:rPr>
                      <w:rFonts w:cstheme="minorHAnsi"/>
                      <w:kern w:val="24"/>
                      <w:sz w:val="24"/>
                      <w:szCs w:val="24"/>
                    </w:rPr>
                    <w:t>[TBD]</w:t>
                  </w:r>
                </w:p>
              </w:tc>
            </w:tr>
            <w:tr w:rsidR="005C40C4" w14:paraId="234F9020" w14:textId="77777777" w:rsidTr="002A1B70">
              <w:trPr>
                <w:trHeight w:val="534"/>
              </w:trPr>
              <w:tc>
                <w:tcPr>
                  <w:tcW w:w="2018" w:type="dxa"/>
                </w:tcPr>
                <w:p w14:paraId="30B2A0ED" w14:textId="77777777" w:rsidR="005C40C4" w:rsidRDefault="005C40C4" w:rsidP="002A1B70">
                  <w:pPr>
                    <w:rPr>
                      <w:rFonts w:cstheme="minorHAnsi"/>
                      <w:b/>
                      <w:bCs/>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20</w:t>
                  </w:r>
                </w:p>
              </w:tc>
              <w:tc>
                <w:tcPr>
                  <w:tcW w:w="2018" w:type="dxa"/>
                </w:tcPr>
                <w:p w14:paraId="4FD46C67" w14:textId="77777777" w:rsidR="005C40C4" w:rsidRDefault="005C40C4" w:rsidP="002A1B70">
                  <w:pPr>
                    <w:rPr>
                      <w:rFonts w:cstheme="minorHAnsi"/>
                      <w:b/>
                      <w:bCs/>
                      <w:sz w:val="24"/>
                      <w:szCs w:val="24"/>
                    </w:rPr>
                  </w:pPr>
                  <w:r>
                    <w:rPr>
                      <w:rFonts w:cstheme="minorHAnsi"/>
                      <w:kern w:val="24"/>
                      <w:sz w:val="24"/>
                      <w:szCs w:val="24"/>
                    </w:rPr>
                    <w:t>[TBD]</w:t>
                  </w:r>
                </w:p>
              </w:tc>
            </w:tr>
            <w:tr w:rsidR="005C40C4" w14:paraId="7275D34A" w14:textId="77777777" w:rsidTr="002A1B70">
              <w:trPr>
                <w:trHeight w:val="520"/>
              </w:trPr>
              <w:tc>
                <w:tcPr>
                  <w:tcW w:w="2018" w:type="dxa"/>
                </w:tcPr>
                <w:p w14:paraId="3E58D3E6" w14:textId="77777777" w:rsidR="005C40C4" w:rsidRDefault="005C40C4" w:rsidP="002A1B70">
                  <w:pPr>
                    <w:rPr>
                      <w:rFonts w:cstheme="minorHAnsi"/>
                      <w:b/>
                      <w:bCs/>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50</w:t>
                  </w:r>
                </w:p>
              </w:tc>
              <w:tc>
                <w:tcPr>
                  <w:tcW w:w="2018" w:type="dxa"/>
                </w:tcPr>
                <w:p w14:paraId="70C5E1D6" w14:textId="77777777" w:rsidR="005C40C4" w:rsidRDefault="005C40C4" w:rsidP="002A1B70">
                  <w:pPr>
                    <w:rPr>
                      <w:rFonts w:cstheme="minorHAnsi"/>
                      <w:b/>
                      <w:bCs/>
                      <w:sz w:val="24"/>
                      <w:szCs w:val="24"/>
                    </w:rPr>
                  </w:pPr>
                  <w:r>
                    <w:rPr>
                      <w:rFonts w:cstheme="minorHAnsi"/>
                      <w:kern w:val="24"/>
                      <w:sz w:val="24"/>
                      <w:szCs w:val="24"/>
                    </w:rPr>
                    <w:t>[TBD]</w:t>
                  </w:r>
                </w:p>
              </w:tc>
            </w:tr>
            <w:tr w:rsidR="005C40C4" w14:paraId="3330CBD9" w14:textId="77777777" w:rsidTr="002A1B70">
              <w:trPr>
                <w:trHeight w:val="520"/>
              </w:trPr>
              <w:tc>
                <w:tcPr>
                  <w:tcW w:w="2018" w:type="dxa"/>
                </w:tcPr>
                <w:p w14:paraId="2D37A429" w14:textId="77777777" w:rsidR="005C40C4" w:rsidRDefault="005C40C4" w:rsidP="002A1B70">
                  <w:pPr>
                    <w:rPr>
                      <w:rFonts w:eastAsia="Microsoft Sans Serif" w:cstheme="minorHAnsi"/>
                      <w:color w:val="000000" w:themeColor="dark1"/>
                      <w:kern w:val="24"/>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100</w:t>
                  </w:r>
                </w:p>
              </w:tc>
              <w:tc>
                <w:tcPr>
                  <w:tcW w:w="2018" w:type="dxa"/>
                </w:tcPr>
                <w:p w14:paraId="4AA1907C" w14:textId="77777777" w:rsidR="005C40C4" w:rsidRDefault="005C40C4" w:rsidP="002A1B70">
                  <w:pPr>
                    <w:rPr>
                      <w:rFonts w:cstheme="minorHAnsi"/>
                      <w:kern w:val="24"/>
                      <w:sz w:val="24"/>
                      <w:szCs w:val="24"/>
                    </w:rPr>
                  </w:pPr>
                  <w:r>
                    <w:rPr>
                      <w:rFonts w:cstheme="minorHAnsi"/>
                      <w:kern w:val="24"/>
                      <w:sz w:val="24"/>
                      <w:szCs w:val="24"/>
                    </w:rPr>
                    <w:t>[TBD]</w:t>
                  </w:r>
                </w:p>
              </w:tc>
            </w:tr>
          </w:tbl>
          <w:p w14:paraId="720925C3" w14:textId="77777777" w:rsidR="005C40C4" w:rsidRDefault="005C40C4" w:rsidP="005C40C4">
            <w:pPr>
              <w:pStyle w:val="ListParagraph"/>
              <w:numPr>
                <w:ilvl w:val="1"/>
                <w:numId w:val="25"/>
              </w:numPr>
              <w:overflowPunct w:val="0"/>
              <w:autoSpaceDE w:val="0"/>
              <w:autoSpaceDN w:val="0"/>
              <w:adjustRightInd w:val="0"/>
              <w:spacing w:after="180"/>
              <w:contextualSpacing w:val="0"/>
              <w:textAlignment w:val="baseline"/>
            </w:pPr>
            <w:r w:rsidRPr="00C95E70">
              <w:rPr>
                <w:highlight w:val="green"/>
              </w:rPr>
              <w:t>in FR2 when the reference and target PRS resources are in the same PFL (single PFL case). FFS if additional margin should be added for OTA calibration</w:t>
            </w:r>
            <w:r>
              <w:t>.</w:t>
            </w:r>
          </w:p>
          <w:tbl>
            <w:tblPr>
              <w:tblStyle w:val="TableGrid"/>
              <w:tblW w:w="0" w:type="auto"/>
              <w:tblInd w:w="1525" w:type="dxa"/>
              <w:tblLayout w:type="fixed"/>
              <w:tblLook w:val="04A0" w:firstRow="1" w:lastRow="0" w:firstColumn="1" w:lastColumn="0" w:noHBand="0" w:noVBand="1"/>
            </w:tblPr>
            <w:tblGrid>
              <w:gridCol w:w="1974"/>
              <w:gridCol w:w="1974"/>
            </w:tblGrid>
            <w:tr w:rsidR="005C40C4" w14:paraId="1884C59A" w14:textId="77777777" w:rsidTr="002A1B70">
              <w:trPr>
                <w:trHeight w:val="521"/>
              </w:trPr>
              <w:tc>
                <w:tcPr>
                  <w:tcW w:w="1974" w:type="dxa"/>
                </w:tcPr>
                <w:p w14:paraId="63FA9330" w14:textId="77777777" w:rsidR="005C40C4" w:rsidRDefault="005C40C4" w:rsidP="002A1B70">
                  <w:pPr>
                    <w:rPr>
                      <w:rFonts w:cstheme="minorHAnsi"/>
                      <w:b/>
                      <w:bCs/>
                      <w:sz w:val="24"/>
                      <w:szCs w:val="24"/>
                    </w:rPr>
                  </w:pPr>
                  <w:r>
                    <w:rPr>
                      <w:rFonts w:cstheme="minorHAnsi"/>
                      <w:b/>
                      <w:bCs/>
                      <w:kern w:val="24"/>
                      <w:sz w:val="24"/>
                      <w:szCs w:val="24"/>
                    </w:rPr>
                    <w:t>PRS BW (MHz)</w:t>
                  </w:r>
                </w:p>
              </w:tc>
              <w:tc>
                <w:tcPr>
                  <w:tcW w:w="1974" w:type="dxa"/>
                </w:tcPr>
                <w:p w14:paraId="1EED8144" w14:textId="77777777" w:rsidR="005C40C4" w:rsidRDefault="005C40C4" w:rsidP="002A1B70">
                  <w:pPr>
                    <w:rPr>
                      <w:rFonts w:cstheme="minorHAnsi"/>
                      <w:b/>
                      <w:bCs/>
                      <w:sz w:val="24"/>
                      <w:szCs w:val="24"/>
                    </w:rPr>
                  </w:pPr>
                  <w:r>
                    <w:rPr>
                      <w:rFonts w:cstheme="minorHAnsi"/>
                      <w:b/>
                      <w:bCs/>
                      <w:kern w:val="24"/>
                      <w:sz w:val="24"/>
                      <w:szCs w:val="24"/>
                    </w:rPr>
                    <w:t>Margin (Tc)</w:t>
                  </w:r>
                </w:p>
              </w:tc>
            </w:tr>
            <w:tr w:rsidR="005C40C4" w14:paraId="2B316D77" w14:textId="77777777" w:rsidTr="002A1B70">
              <w:trPr>
                <w:trHeight w:val="535"/>
              </w:trPr>
              <w:tc>
                <w:tcPr>
                  <w:tcW w:w="1974" w:type="dxa"/>
                </w:tcPr>
                <w:p w14:paraId="389D6BC1" w14:textId="77777777" w:rsidR="005C40C4" w:rsidRDefault="005C40C4" w:rsidP="002A1B70">
                  <w:pPr>
                    <w:rPr>
                      <w:rFonts w:cstheme="minorHAnsi"/>
                      <w:b/>
                      <w:bCs/>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20</w:t>
                  </w:r>
                </w:p>
              </w:tc>
              <w:tc>
                <w:tcPr>
                  <w:tcW w:w="1974" w:type="dxa"/>
                </w:tcPr>
                <w:p w14:paraId="0A3B978B" w14:textId="77777777" w:rsidR="005C40C4" w:rsidRDefault="005C40C4" w:rsidP="002A1B70">
                  <w:pPr>
                    <w:rPr>
                      <w:rFonts w:cstheme="minorHAnsi"/>
                      <w:b/>
                      <w:bCs/>
                      <w:sz w:val="24"/>
                      <w:szCs w:val="24"/>
                    </w:rPr>
                  </w:pPr>
                  <w:r>
                    <w:rPr>
                      <w:rFonts w:cstheme="minorHAnsi"/>
                      <w:kern w:val="24"/>
                      <w:sz w:val="24"/>
                      <w:szCs w:val="24"/>
                    </w:rPr>
                    <w:t>[TBD]</w:t>
                  </w:r>
                </w:p>
              </w:tc>
            </w:tr>
            <w:tr w:rsidR="005C40C4" w14:paraId="506D8EDA" w14:textId="77777777" w:rsidTr="002A1B70">
              <w:trPr>
                <w:trHeight w:val="521"/>
              </w:trPr>
              <w:tc>
                <w:tcPr>
                  <w:tcW w:w="1974" w:type="dxa"/>
                </w:tcPr>
                <w:p w14:paraId="22412A06" w14:textId="77777777" w:rsidR="005C40C4" w:rsidRDefault="005C40C4" w:rsidP="002A1B70">
                  <w:pPr>
                    <w:rPr>
                      <w:rFonts w:cstheme="minorHAnsi"/>
                      <w:b/>
                      <w:bCs/>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50</w:t>
                  </w:r>
                </w:p>
              </w:tc>
              <w:tc>
                <w:tcPr>
                  <w:tcW w:w="1974" w:type="dxa"/>
                </w:tcPr>
                <w:p w14:paraId="38F60012" w14:textId="77777777" w:rsidR="005C40C4" w:rsidRDefault="005C40C4" w:rsidP="002A1B70">
                  <w:pPr>
                    <w:rPr>
                      <w:rFonts w:cstheme="minorHAnsi"/>
                      <w:b/>
                      <w:bCs/>
                      <w:sz w:val="24"/>
                      <w:szCs w:val="24"/>
                    </w:rPr>
                  </w:pPr>
                  <w:r>
                    <w:rPr>
                      <w:rFonts w:cstheme="minorHAnsi"/>
                      <w:kern w:val="24"/>
                      <w:sz w:val="24"/>
                      <w:szCs w:val="24"/>
                    </w:rPr>
                    <w:t>[TBD]</w:t>
                  </w:r>
                </w:p>
              </w:tc>
            </w:tr>
            <w:tr w:rsidR="005C40C4" w14:paraId="2AC61830" w14:textId="77777777" w:rsidTr="002A1B70">
              <w:trPr>
                <w:trHeight w:val="521"/>
              </w:trPr>
              <w:tc>
                <w:tcPr>
                  <w:tcW w:w="1974" w:type="dxa"/>
                </w:tcPr>
                <w:p w14:paraId="160E12A5" w14:textId="77777777" w:rsidR="005C40C4" w:rsidRDefault="005C40C4" w:rsidP="002A1B70">
                  <w:pPr>
                    <w:rPr>
                      <w:rFonts w:eastAsia="Microsoft Sans Serif" w:cstheme="minorHAnsi"/>
                      <w:color w:val="000000" w:themeColor="dark1"/>
                      <w:kern w:val="24"/>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100</w:t>
                  </w:r>
                </w:p>
              </w:tc>
              <w:tc>
                <w:tcPr>
                  <w:tcW w:w="1974" w:type="dxa"/>
                </w:tcPr>
                <w:p w14:paraId="34EE086D" w14:textId="77777777" w:rsidR="005C40C4" w:rsidRDefault="005C40C4" w:rsidP="002A1B70">
                  <w:pPr>
                    <w:rPr>
                      <w:rFonts w:cstheme="minorHAnsi"/>
                      <w:kern w:val="24"/>
                      <w:sz w:val="24"/>
                      <w:szCs w:val="24"/>
                    </w:rPr>
                  </w:pPr>
                  <w:r>
                    <w:rPr>
                      <w:rFonts w:cstheme="minorHAnsi"/>
                      <w:kern w:val="24"/>
                      <w:sz w:val="24"/>
                      <w:szCs w:val="24"/>
                    </w:rPr>
                    <w:t>[TBD]</w:t>
                  </w:r>
                </w:p>
              </w:tc>
            </w:tr>
            <w:tr w:rsidR="005C40C4" w14:paraId="20A652D1" w14:textId="77777777" w:rsidTr="002A1B70">
              <w:trPr>
                <w:trHeight w:val="521"/>
              </w:trPr>
              <w:tc>
                <w:tcPr>
                  <w:tcW w:w="1974" w:type="dxa"/>
                </w:tcPr>
                <w:p w14:paraId="0C9AB412" w14:textId="77777777" w:rsidR="005C40C4" w:rsidRDefault="005C40C4" w:rsidP="002A1B70">
                  <w:pPr>
                    <w:rPr>
                      <w:rFonts w:eastAsia="Microsoft Sans Serif" w:cstheme="minorHAnsi"/>
                      <w:color w:val="000000" w:themeColor="dark1"/>
                      <w:kern w:val="24"/>
                      <w:sz w:val="24"/>
                      <w:szCs w:val="24"/>
                    </w:rPr>
                  </w:pPr>
                  <w:r>
                    <w:rPr>
                      <w:rFonts w:eastAsia="Microsoft Sans Serif" w:cstheme="minorHAnsi"/>
                      <w:color w:val="000000" w:themeColor="dark1"/>
                      <w:kern w:val="24"/>
                      <w:sz w:val="24"/>
                      <w:szCs w:val="24"/>
                    </w:rPr>
                    <w:t xml:space="preserve">≥ </w:t>
                  </w:r>
                  <w:r>
                    <w:rPr>
                      <w:rFonts w:cstheme="minorHAnsi"/>
                      <w:color w:val="000000" w:themeColor="dark1"/>
                      <w:kern w:val="24"/>
                      <w:sz w:val="24"/>
                      <w:szCs w:val="24"/>
                    </w:rPr>
                    <w:t>200</w:t>
                  </w:r>
                </w:p>
              </w:tc>
              <w:tc>
                <w:tcPr>
                  <w:tcW w:w="1974" w:type="dxa"/>
                </w:tcPr>
                <w:p w14:paraId="25FAC6B8" w14:textId="77777777" w:rsidR="005C40C4" w:rsidRDefault="005C40C4" w:rsidP="002A1B70">
                  <w:pPr>
                    <w:rPr>
                      <w:rFonts w:cstheme="minorHAnsi"/>
                      <w:kern w:val="24"/>
                      <w:sz w:val="24"/>
                      <w:szCs w:val="24"/>
                    </w:rPr>
                  </w:pPr>
                  <w:r>
                    <w:rPr>
                      <w:rFonts w:cstheme="minorHAnsi"/>
                      <w:kern w:val="24"/>
                      <w:sz w:val="24"/>
                      <w:szCs w:val="24"/>
                    </w:rPr>
                    <w:t>[TBD]</w:t>
                  </w:r>
                </w:p>
              </w:tc>
            </w:tr>
          </w:tbl>
          <w:p w14:paraId="0835D3BB" w14:textId="1830B5CD" w:rsidR="005C40C4" w:rsidRDefault="005C40C4" w:rsidP="002A1B70">
            <w:pPr>
              <w:rPr>
                <w:i/>
                <w:color w:val="0070C0"/>
              </w:rPr>
            </w:pPr>
          </w:p>
        </w:tc>
      </w:tr>
    </w:tbl>
    <w:p w14:paraId="60BA935B" w14:textId="77777777" w:rsidR="0090679F" w:rsidRPr="0090679F" w:rsidRDefault="0090679F" w:rsidP="0090679F">
      <w:pPr>
        <w:rPr>
          <w:b/>
          <w:bCs/>
          <w:u w:val="single"/>
          <w:lang w:val="x-none"/>
        </w:rPr>
      </w:pPr>
    </w:p>
    <w:p w14:paraId="6F9C04F7" w14:textId="2E5B9CCB" w:rsidR="006443EF" w:rsidRDefault="006443EF" w:rsidP="006443EF">
      <w:pPr>
        <w:pStyle w:val="ListParagraph"/>
        <w:numPr>
          <w:ilvl w:val="0"/>
          <w:numId w:val="22"/>
        </w:numPr>
        <w:ind w:left="284" w:hanging="284"/>
        <w:rPr>
          <w:b/>
          <w:bCs/>
          <w:u w:val="single"/>
        </w:rPr>
      </w:pPr>
      <w:r w:rsidRPr="007765CB">
        <w:rPr>
          <w:b/>
          <w:bCs/>
          <w:u w:val="single"/>
        </w:rPr>
        <w:lastRenderedPageBreak/>
        <w:t xml:space="preserve">Frequency drift margin </w:t>
      </w:r>
    </w:p>
    <w:p w14:paraId="388F84E9" w14:textId="77777777" w:rsidR="0069182C" w:rsidRPr="0042700F" w:rsidRDefault="0069182C" w:rsidP="0069182C">
      <w:pPr>
        <w:rPr>
          <w:b/>
          <w:bCs/>
          <w:color w:val="0070C0"/>
          <w:highlight w:val="cyan"/>
        </w:rPr>
      </w:pPr>
      <w:r w:rsidRPr="0042700F">
        <w:rPr>
          <w:b/>
          <w:bCs/>
          <w:color w:val="0070C0"/>
          <w:highlight w:val="cyan"/>
        </w:rPr>
        <w:t xml:space="preserve">Frequency drift margin for RSTD </w:t>
      </w:r>
    </w:p>
    <w:p w14:paraId="74EAC2BF" w14:textId="77777777" w:rsidR="0069182C" w:rsidRPr="0042700F" w:rsidRDefault="0069182C" w:rsidP="0069182C">
      <w:pPr>
        <w:pStyle w:val="ListParagraph"/>
        <w:numPr>
          <w:ilvl w:val="0"/>
          <w:numId w:val="27"/>
        </w:numPr>
        <w:overflowPunct w:val="0"/>
        <w:autoSpaceDE w:val="0"/>
        <w:autoSpaceDN w:val="0"/>
        <w:adjustRightInd w:val="0"/>
        <w:spacing w:after="180"/>
        <w:contextualSpacing w:val="0"/>
        <w:textAlignment w:val="baseline"/>
      </w:pPr>
      <w:r w:rsidRPr="0042700F">
        <w:t>RAN4 will define a single value for the frequency drift margin based on a single value of</w:t>
      </w:r>
      <w:r>
        <w:t xml:space="preserve"> </w:t>
      </w:r>
      <w:r w:rsidRPr="0042700F">
        <w:t>the maximum time offset</w:t>
      </w:r>
    </w:p>
    <w:p w14:paraId="6D3E0D00" w14:textId="77777777" w:rsidR="0069182C" w:rsidRPr="000D6815" w:rsidRDefault="0069182C" w:rsidP="0069182C">
      <w:pPr>
        <w:pStyle w:val="ListParagraph"/>
        <w:numPr>
          <w:ilvl w:val="0"/>
          <w:numId w:val="27"/>
        </w:numPr>
        <w:overflowPunct w:val="0"/>
        <w:autoSpaceDE w:val="0"/>
        <w:autoSpaceDN w:val="0"/>
        <w:adjustRightInd w:val="0"/>
        <w:spacing w:after="180"/>
        <w:contextualSpacing w:val="0"/>
        <w:textAlignment w:val="baseline"/>
        <w:rPr>
          <w:b/>
          <w:bCs/>
          <w:color w:val="0070C0"/>
        </w:rPr>
      </w:pPr>
      <w:r w:rsidRPr="00546268">
        <w:t>FFS on the exact value</w:t>
      </w:r>
    </w:p>
    <w:p w14:paraId="0B9ADF9B" w14:textId="77777777" w:rsidR="007E31C7" w:rsidRPr="007E31C7" w:rsidRDefault="007E31C7" w:rsidP="007E31C7">
      <w:pPr>
        <w:rPr>
          <w:b/>
          <w:bCs/>
          <w:u w:val="single"/>
        </w:rPr>
      </w:pPr>
    </w:p>
    <w:p w14:paraId="19C7072A" w14:textId="1B43315C" w:rsidR="006443EF" w:rsidRDefault="006443EF" w:rsidP="006443EF">
      <w:pPr>
        <w:spacing w:after="0" w:line="240" w:lineRule="auto"/>
      </w:pPr>
      <w:r>
        <w:t>In principle, as in for RF working assumptions, the allowed frequency drift is +/-0.1 ppm/s[</w:t>
      </w:r>
      <w:r w:rsidR="00891369">
        <w:t>3</w:t>
      </w:r>
      <w:r>
        <w:t xml:space="preserve">,TS38.101-1]. On the other hand, typically the time offset between of the measured TRPs( e.g. reference cell and neighbor cell for RSTD measurements) can be within </w:t>
      </w:r>
      <w:r w:rsidRPr="000F293D">
        <w:rPr>
          <w:rFonts w:ascii="ArialMT" w:eastAsia="Times New Roman" w:hAnsi="ArialMT" w:cs="Times New Roman"/>
          <w:color w:val="000000"/>
          <w:sz w:val="18"/>
          <w:szCs w:val="18"/>
        </w:rPr>
        <w:t>[</w:t>
      </w:r>
      <w:r w:rsidRPr="000F293D">
        <w:rPr>
          <w:rFonts w:ascii="SymbolMT" w:eastAsia="Times New Roman" w:hAnsi="SymbolMT" w:cs="Times New Roman"/>
          <w:color w:val="000000"/>
          <w:sz w:val="20"/>
          <w:szCs w:val="20"/>
        </w:rPr>
        <w:t xml:space="preserve">- </w:t>
      </w:r>
      <w:proofErr w:type="spellStart"/>
      <w:r w:rsidRPr="000F293D">
        <w:rPr>
          <w:rFonts w:ascii="Arial-ItalicMT" w:eastAsia="Times New Roman" w:hAnsi="Arial-ItalicMT" w:cs="Times New Roman"/>
          <w:i/>
          <w:iCs/>
          <w:color w:val="000000"/>
          <w:sz w:val="18"/>
          <w:szCs w:val="18"/>
        </w:rPr>
        <w:t>expectedRSTD</w:t>
      </w:r>
      <w:proofErr w:type="spellEnd"/>
      <w:r w:rsidRPr="000F293D">
        <w:rPr>
          <w:rFonts w:ascii="Arial-ItalicMT" w:eastAsia="Times New Roman" w:hAnsi="Arial-ItalicMT" w:cs="Times New Roman"/>
          <w:i/>
          <w:iCs/>
          <w:color w:val="000000"/>
          <w:sz w:val="18"/>
          <w:szCs w:val="18"/>
        </w:rPr>
        <w:t>-Uncertainty</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3</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T</w:t>
      </w:r>
      <w:r w:rsidRPr="000F293D">
        <w:rPr>
          <w:rFonts w:ascii="ArialMT" w:eastAsia="Times New Roman" w:hAnsi="ArialMT" w:cs="Times New Roman"/>
          <w:color w:val="000000"/>
          <w:sz w:val="12"/>
          <w:szCs w:val="12"/>
        </w:rPr>
        <w:t>s</w:t>
      </w:r>
      <w:r w:rsidRPr="000F293D">
        <w:rPr>
          <w:rFonts w:ascii="Arial-ItalicMT" w:eastAsia="Times New Roman" w:hAnsi="Arial-ItalicMT" w:cs="Times New Roman"/>
          <w:i/>
          <w:iCs/>
          <w:color w:val="000000"/>
          <w:sz w:val="18"/>
          <w:szCs w:val="18"/>
        </w:rPr>
        <w:t xml:space="preserve">, </w:t>
      </w:r>
      <w:proofErr w:type="spellStart"/>
      <w:r w:rsidRPr="000F293D">
        <w:rPr>
          <w:rFonts w:ascii="Arial-ItalicMT" w:eastAsia="Times New Roman" w:hAnsi="Arial-ItalicMT" w:cs="Times New Roman"/>
          <w:i/>
          <w:iCs/>
          <w:color w:val="000000"/>
          <w:sz w:val="18"/>
          <w:szCs w:val="18"/>
        </w:rPr>
        <w:t>expectedRSTD</w:t>
      </w:r>
      <w:proofErr w:type="spellEnd"/>
      <w:r w:rsidRPr="000F293D">
        <w:rPr>
          <w:rFonts w:ascii="Arial-ItalicMT" w:eastAsia="Times New Roman" w:hAnsi="Arial-ItalicMT" w:cs="Times New Roman"/>
          <w:i/>
          <w:iCs/>
          <w:color w:val="000000"/>
          <w:sz w:val="18"/>
          <w:szCs w:val="18"/>
        </w:rPr>
        <w:t>-Uncertainty</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3</w:t>
      </w:r>
      <w:r w:rsidRPr="000F293D">
        <w:rPr>
          <w:rFonts w:ascii="SymbolMT" w:eastAsia="Times New Roman" w:hAnsi="SymbolMT" w:cs="Times New Roman"/>
          <w:color w:val="000000"/>
          <w:sz w:val="18"/>
          <w:szCs w:val="18"/>
        </w:rPr>
        <w:sym w:font="Symbol" w:char="F0B4"/>
      </w:r>
      <w:r w:rsidRPr="000F293D">
        <w:rPr>
          <w:rFonts w:ascii="ArialMT" w:eastAsia="Times New Roman" w:hAnsi="ArialMT" w:cs="Times New Roman"/>
          <w:color w:val="000000"/>
          <w:sz w:val="18"/>
          <w:szCs w:val="18"/>
        </w:rPr>
        <w:t>T</w:t>
      </w:r>
      <w:r w:rsidRPr="000F293D">
        <w:rPr>
          <w:rFonts w:ascii="ArialMT" w:eastAsia="Times New Roman" w:hAnsi="ArialMT" w:cs="Times New Roman"/>
          <w:color w:val="000000"/>
          <w:sz w:val="12"/>
          <w:szCs w:val="12"/>
        </w:rPr>
        <w:t>s</w:t>
      </w:r>
      <w:r>
        <w:t xml:space="preserve">]. Thus, we can see </w:t>
      </w:r>
    </w:p>
    <w:p w14:paraId="036AA217" w14:textId="005C8E1D" w:rsidR="006443EF" w:rsidRPr="00DF7185" w:rsidRDefault="00DF7185" w:rsidP="006443EF">
      <w:pPr>
        <w:spacing w:after="0" w:line="240" w:lineRule="auto"/>
        <w:rPr>
          <w:b/>
          <w:bCs/>
          <w:i/>
          <w:iCs/>
        </w:rPr>
      </w:pPr>
      <w:r w:rsidRPr="00DF7185">
        <w:rPr>
          <w:b/>
          <w:bCs/>
          <w:i/>
          <w:iCs/>
          <w:u w:val="single"/>
        </w:rPr>
        <w:t>Proposal</w:t>
      </w:r>
      <w:r w:rsidR="006443EF" w:rsidRPr="00DF7185">
        <w:rPr>
          <w:b/>
          <w:bCs/>
          <w:i/>
          <w:iCs/>
          <w:u w:val="single"/>
        </w:rPr>
        <w:t xml:space="preserve"> </w:t>
      </w:r>
      <w:r w:rsidR="006547EA">
        <w:rPr>
          <w:b/>
          <w:bCs/>
          <w:i/>
          <w:iCs/>
          <w:u w:val="single"/>
        </w:rPr>
        <w:t>1</w:t>
      </w:r>
      <w:r w:rsidR="006443EF" w:rsidRPr="00DF7185">
        <w:rPr>
          <w:b/>
          <w:bCs/>
          <w:i/>
          <w:iCs/>
        </w:rPr>
        <w:t xml:space="preserve"> : The maximum frequency drift between the measured TRPs can be dependent the maximum time offsets among the measured TRPs/cells (e.g. 2* </w:t>
      </w:r>
      <w:proofErr w:type="spellStart"/>
      <w:r w:rsidR="006443EF" w:rsidRPr="00DF7185">
        <w:rPr>
          <w:b/>
          <w:bCs/>
          <w:i/>
          <w:iCs/>
        </w:rPr>
        <w:t>expectedRSTD</w:t>
      </w:r>
      <w:proofErr w:type="spellEnd"/>
      <w:r w:rsidR="006443EF" w:rsidRPr="00DF7185">
        <w:rPr>
          <w:b/>
          <w:bCs/>
          <w:i/>
          <w:iCs/>
        </w:rPr>
        <w:t>)</w:t>
      </w:r>
    </w:p>
    <w:p w14:paraId="0447B338" w14:textId="3B5CE179" w:rsidR="005E4CB4" w:rsidRDefault="006443EF"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UE Rx-Tx time difference accuracy requirements</w:t>
      </w:r>
    </w:p>
    <w:p w14:paraId="7A6E55E5" w14:textId="3FE77857" w:rsidR="00B26A37" w:rsidRPr="006443EF" w:rsidRDefault="00B26A37" w:rsidP="006443EF">
      <w:pPr>
        <w:pStyle w:val="ListParagraph"/>
        <w:numPr>
          <w:ilvl w:val="0"/>
          <w:numId w:val="22"/>
        </w:numPr>
        <w:ind w:left="284" w:hanging="284"/>
        <w:rPr>
          <w:b/>
          <w:bCs/>
          <w:u w:val="single"/>
        </w:rPr>
      </w:pPr>
      <w:bookmarkStart w:id="4" w:name="_Hlk51855312"/>
      <w:r w:rsidRPr="006443EF">
        <w:rPr>
          <w:b/>
          <w:bCs/>
          <w:u w:val="single"/>
        </w:rPr>
        <w:t xml:space="preserve">Applicability of accuracy requirements in case </w:t>
      </w:r>
      <w:r w:rsidR="009E7418" w:rsidRPr="006443EF">
        <w:rPr>
          <w:b/>
          <w:bCs/>
          <w:u w:val="single"/>
        </w:rPr>
        <w:t>TA adjustment</w:t>
      </w:r>
    </w:p>
    <w:p w14:paraId="6A01CD49" w14:textId="3639D8BB" w:rsidR="0079316C" w:rsidRDefault="0079316C" w:rsidP="00734250">
      <w:pPr>
        <w:rPr>
          <w:rFonts w:cstheme="minorHAnsi"/>
        </w:rPr>
      </w:pPr>
      <w:r>
        <w:rPr>
          <w:rFonts w:cstheme="minorHAnsi"/>
        </w:rPr>
        <w:t xml:space="preserve">In previous RAN4 meeting, the impacts </w:t>
      </w:r>
      <w:r w:rsidR="00B34C66">
        <w:rPr>
          <w:rFonts w:cstheme="minorHAnsi"/>
        </w:rPr>
        <w:t>of TA adjustment</w:t>
      </w:r>
      <w:r w:rsidRPr="00C136B9">
        <w:rPr>
          <w:rFonts w:cstheme="minorHAnsi"/>
          <w:sz w:val="16"/>
          <w:szCs w:val="16"/>
        </w:rPr>
        <w:t xml:space="preserve"> </w:t>
      </w:r>
      <w:r>
        <w:rPr>
          <w:rFonts w:cstheme="minorHAnsi"/>
        </w:rPr>
        <w:t xml:space="preserve">on the UE Rx-Tx time difference requirements was addressed. </w:t>
      </w:r>
    </w:p>
    <w:tbl>
      <w:tblPr>
        <w:tblStyle w:val="TableGrid"/>
        <w:tblW w:w="9629" w:type="dxa"/>
        <w:tblLayout w:type="fixed"/>
        <w:tblLook w:val="04A0" w:firstRow="1" w:lastRow="0" w:firstColumn="1" w:lastColumn="0" w:noHBand="0" w:noVBand="1"/>
      </w:tblPr>
      <w:tblGrid>
        <w:gridCol w:w="9629"/>
      </w:tblGrid>
      <w:tr w:rsidR="00EF675A" w:rsidRPr="00415C15" w14:paraId="22D14CC4" w14:textId="77777777" w:rsidTr="00EF675A">
        <w:tc>
          <w:tcPr>
            <w:tcW w:w="9629" w:type="dxa"/>
          </w:tcPr>
          <w:p w14:paraId="75C7493A" w14:textId="77777777" w:rsidR="00EF675A" w:rsidRPr="0042700F" w:rsidRDefault="00EF675A" w:rsidP="002A1B70">
            <w:pPr>
              <w:rPr>
                <w:i/>
                <w:color w:val="0070C0"/>
              </w:rPr>
            </w:pPr>
            <w:r w:rsidRPr="0042700F">
              <w:rPr>
                <w:b/>
                <w:bCs/>
                <w:color w:val="0070C0"/>
              </w:rPr>
              <w:t>Applicability of UE Rx-Tx time difference accuracy requirements under TA adjustment</w:t>
            </w:r>
            <w:r w:rsidRPr="0042700F">
              <w:rPr>
                <w:rFonts w:hint="eastAsia"/>
                <w:i/>
                <w:color w:val="0070C0"/>
              </w:rPr>
              <w:t xml:space="preserve"> </w:t>
            </w:r>
          </w:p>
          <w:p w14:paraId="79511E71" w14:textId="77777777" w:rsidR="00EF675A" w:rsidRPr="0042700F" w:rsidRDefault="00EF675A" w:rsidP="002A1B70">
            <w:pPr>
              <w:rPr>
                <w:i/>
              </w:rPr>
            </w:pPr>
            <w:r w:rsidRPr="0042700F">
              <w:rPr>
                <w:i/>
              </w:rPr>
              <w:t>FFS on Applicability of UE Rx-Tx time difference accuracy requirements under TA adjustment</w:t>
            </w:r>
            <w:r w:rsidRPr="0042700F">
              <w:rPr>
                <w:rFonts w:hint="eastAsia"/>
                <w:i/>
              </w:rPr>
              <w:t xml:space="preserve"> </w:t>
            </w:r>
          </w:p>
          <w:p w14:paraId="3809D64E" w14:textId="77777777" w:rsidR="00EF675A" w:rsidRPr="0042700F" w:rsidRDefault="00EF675A" w:rsidP="002A1B70">
            <w:pPr>
              <w:rPr>
                <w:i/>
                <w:color w:val="0070C0"/>
              </w:rPr>
            </w:pPr>
          </w:p>
          <w:p w14:paraId="6C6F2E8C" w14:textId="77777777" w:rsidR="00EF675A" w:rsidRPr="0042700F" w:rsidRDefault="00EF675A" w:rsidP="00EF675A">
            <w:pPr>
              <w:pStyle w:val="ListParagraph"/>
              <w:numPr>
                <w:ilvl w:val="0"/>
                <w:numId w:val="26"/>
              </w:numPr>
              <w:overflowPunct w:val="0"/>
              <w:autoSpaceDE w:val="0"/>
              <w:autoSpaceDN w:val="0"/>
              <w:adjustRightInd w:val="0"/>
              <w:spacing w:beforeLines="50" w:before="120" w:afterLines="50" w:after="120"/>
              <w:contextualSpacing w:val="0"/>
              <w:jc w:val="both"/>
              <w:textAlignment w:val="baseline"/>
            </w:pPr>
            <w:r w:rsidRPr="0042700F">
              <w:t xml:space="preserve">Option 1. </w:t>
            </w:r>
          </w:p>
          <w:p w14:paraId="0059A441" w14:textId="77777777" w:rsidR="00EF675A" w:rsidRPr="0042700F" w:rsidRDefault="00EF675A" w:rsidP="00EF675A">
            <w:pPr>
              <w:pStyle w:val="ListParagraph"/>
              <w:numPr>
                <w:ilvl w:val="1"/>
                <w:numId w:val="26"/>
              </w:numPr>
              <w:overflowPunct w:val="0"/>
              <w:autoSpaceDE w:val="0"/>
              <w:autoSpaceDN w:val="0"/>
              <w:adjustRightInd w:val="0"/>
              <w:spacing w:beforeLines="50" w:before="120" w:afterLines="50" w:after="120"/>
              <w:contextualSpacing w:val="0"/>
              <w:jc w:val="both"/>
              <w:textAlignment w:val="baseline"/>
              <w:rPr>
                <w:bCs/>
              </w:rPr>
            </w:pPr>
            <w:r w:rsidRPr="0042700F">
              <w:rPr>
                <w:bCs/>
              </w:rPr>
              <w:t>UE Rx-Tx measurement accuracy requirements shall apply if the uplink transmission timing changes during the UE Rx-Tx measurement period due to autonomous adjustment</w:t>
            </w:r>
          </w:p>
          <w:p w14:paraId="09FEFA9A" w14:textId="77777777" w:rsidR="00EF675A" w:rsidRPr="0042700F" w:rsidRDefault="00EF675A" w:rsidP="00EF675A">
            <w:pPr>
              <w:pStyle w:val="ListParagraph"/>
              <w:numPr>
                <w:ilvl w:val="0"/>
                <w:numId w:val="26"/>
              </w:numPr>
              <w:overflowPunct w:val="0"/>
              <w:autoSpaceDE w:val="0"/>
              <w:autoSpaceDN w:val="0"/>
              <w:adjustRightInd w:val="0"/>
              <w:spacing w:beforeLines="50" w:before="120" w:afterLines="50" w:after="120"/>
              <w:contextualSpacing w:val="0"/>
              <w:jc w:val="both"/>
              <w:textAlignment w:val="baseline"/>
            </w:pPr>
            <w:r w:rsidRPr="0042700F">
              <w:t xml:space="preserve">Option 2. </w:t>
            </w:r>
          </w:p>
          <w:p w14:paraId="15E0A723" w14:textId="77777777" w:rsidR="00EF675A" w:rsidRPr="0042700F" w:rsidRDefault="00EF675A" w:rsidP="002A1B70">
            <w:pPr>
              <w:rPr>
                <w:i/>
                <w:color w:val="0070C0"/>
              </w:rPr>
            </w:pPr>
          </w:p>
          <w:p w14:paraId="6678AC9D" w14:textId="77777777" w:rsidR="00EF675A" w:rsidRPr="0042700F" w:rsidRDefault="00EF675A" w:rsidP="00EF675A">
            <w:pPr>
              <w:pStyle w:val="ListParagraph"/>
              <w:numPr>
                <w:ilvl w:val="1"/>
                <w:numId w:val="26"/>
              </w:numPr>
              <w:overflowPunct w:val="0"/>
              <w:autoSpaceDE w:val="0"/>
              <w:autoSpaceDN w:val="0"/>
              <w:adjustRightInd w:val="0"/>
              <w:spacing w:beforeLines="50" w:before="120" w:afterLines="50" w:after="120"/>
              <w:contextualSpacing w:val="0"/>
              <w:jc w:val="both"/>
              <w:textAlignment w:val="baseline"/>
              <w:rPr>
                <w:bCs/>
              </w:rPr>
            </w:pPr>
            <w:r w:rsidRPr="0042700F">
              <w:rPr>
                <w:bCs/>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E82FBDC" w14:textId="77777777" w:rsidR="00EF675A" w:rsidRPr="0042700F" w:rsidRDefault="00EF675A" w:rsidP="00EF675A">
            <w:pPr>
              <w:pStyle w:val="ListParagraph"/>
              <w:numPr>
                <w:ilvl w:val="1"/>
                <w:numId w:val="26"/>
              </w:numPr>
              <w:overflowPunct w:val="0"/>
              <w:autoSpaceDE w:val="0"/>
              <w:autoSpaceDN w:val="0"/>
              <w:adjustRightInd w:val="0"/>
              <w:spacing w:beforeLines="50" w:before="120" w:afterLines="50" w:after="120"/>
              <w:contextualSpacing w:val="0"/>
              <w:jc w:val="both"/>
              <w:textAlignment w:val="baseline"/>
              <w:rPr>
                <w:bCs/>
              </w:rPr>
            </w:pPr>
            <w:r w:rsidRPr="0042700F">
              <w:rPr>
                <w:bCs/>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5182D279" w14:textId="77777777" w:rsidR="00EF675A" w:rsidRPr="006547EA" w:rsidRDefault="00EF675A" w:rsidP="006547EA">
            <w:pPr>
              <w:overflowPunct w:val="0"/>
              <w:autoSpaceDE w:val="0"/>
              <w:autoSpaceDN w:val="0"/>
              <w:adjustRightInd w:val="0"/>
              <w:spacing w:after="180"/>
              <w:textAlignment w:val="baseline"/>
              <w:rPr>
                <w:b/>
                <w:bCs/>
                <w:color w:val="0070C0"/>
              </w:rPr>
            </w:pPr>
          </w:p>
        </w:tc>
      </w:tr>
    </w:tbl>
    <w:p w14:paraId="121543BB" w14:textId="291377D3" w:rsidR="0079316C" w:rsidRDefault="0079316C" w:rsidP="002A2F85">
      <w:pPr>
        <w:tabs>
          <w:tab w:val="left" w:pos="2479"/>
        </w:tabs>
        <w:spacing w:after="120" w:line="240" w:lineRule="auto"/>
        <w:rPr>
          <w:rFonts w:cstheme="minorHAnsi"/>
        </w:rPr>
      </w:pPr>
    </w:p>
    <w:p w14:paraId="393B8A3F" w14:textId="34B40152" w:rsidR="00376FE3" w:rsidRPr="002A2F85" w:rsidRDefault="00EE6FF9" w:rsidP="00376FE3">
      <w:pPr>
        <w:tabs>
          <w:tab w:val="left" w:pos="2479"/>
        </w:tabs>
        <w:spacing w:after="120" w:line="240" w:lineRule="auto"/>
        <w:rPr>
          <w:rFonts w:cstheme="minorHAnsi"/>
        </w:rPr>
      </w:pPr>
      <w:r>
        <w:rPr>
          <w:rFonts w:cstheme="minorHAnsi"/>
        </w:rPr>
        <w:t xml:space="preserve">In the last meeting, the option 4 was </w:t>
      </w:r>
      <w:r w:rsidR="001D1CF4">
        <w:rPr>
          <w:rFonts w:cstheme="minorHAnsi"/>
        </w:rPr>
        <w:t>proposed as the compromised approach for further chec</w:t>
      </w:r>
      <w:r w:rsidR="00364A3B">
        <w:rPr>
          <w:rFonts w:cstheme="minorHAnsi"/>
        </w:rPr>
        <w:t>k</w:t>
      </w:r>
      <w:r w:rsidR="001D1CF4">
        <w:rPr>
          <w:rFonts w:cstheme="minorHAnsi"/>
        </w:rPr>
        <w:t>ing</w:t>
      </w:r>
      <w:r w:rsidR="0079316C">
        <w:rPr>
          <w:rFonts w:cstheme="minorHAnsi"/>
        </w:rPr>
        <w:t>.</w:t>
      </w:r>
      <w:r w:rsidR="001D1CF4">
        <w:rPr>
          <w:rFonts w:cstheme="minorHAnsi"/>
        </w:rPr>
        <w:t xml:space="preserve"> In our views, </w:t>
      </w:r>
      <w:r w:rsidR="00B72693">
        <w:rPr>
          <w:rFonts w:cstheme="minorHAnsi"/>
        </w:rPr>
        <w:t>in case of autonomous TA adjustment</w:t>
      </w:r>
      <w:r w:rsidR="002929F2">
        <w:rPr>
          <w:rFonts w:cstheme="minorHAnsi"/>
        </w:rPr>
        <w:t xml:space="preserve"> </w:t>
      </w:r>
      <w:r w:rsidR="00376FE3" w:rsidRPr="002A2F85">
        <w:rPr>
          <w:rFonts w:cstheme="minorHAnsi"/>
        </w:rPr>
        <w:t>for applying UE Rx-Tx accuracy for a cell based on whether SRS is transmitted on that cell is sufficient and unambiguous.</w:t>
      </w:r>
    </w:p>
    <w:p w14:paraId="2CBD1373" w14:textId="50278509" w:rsidR="00B34C66" w:rsidRPr="002A2F85" w:rsidRDefault="0079316C" w:rsidP="00617AD7">
      <w:pPr>
        <w:overflowPunct w:val="0"/>
        <w:autoSpaceDE w:val="0"/>
        <w:autoSpaceDN w:val="0"/>
        <w:adjustRightInd w:val="0"/>
        <w:spacing w:after="180" w:line="240" w:lineRule="auto"/>
        <w:textAlignment w:val="baseline"/>
        <w:rPr>
          <w:rFonts w:ascii="Calibri" w:hAnsi="Calibri" w:cs="Calibri"/>
          <w:b/>
          <w:bCs/>
          <w:i/>
        </w:rPr>
      </w:pPr>
      <w:r w:rsidRPr="00FD089C">
        <w:rPr>
          <w:b/>
          <w:bCs/>
          <w:i/>
          <w:u w:val="single"/>
          <w:lang w:eastAsia="x-none"/>
        </w:rPr>
        <w:lastRenderedPageBreak/>
        <w:t>Proposal</w:t>
      </w:r>
      <w:r w:rsidR="008D7A4C">
        <w:rPr>
          <w:b/>
          <w:bCs/>
          <w:i/>
          <w:u w:val="single"/>
          <w:lang w:eastAsia="x-none"/>
        </w:rPr>
        <w:t xml:space="preserve"> </w:t>
      </w:r>
      <w:r w:rsidR="00955050">
        <w:rPr>
          <w:b/>
          <w:bCs/>
          <w:i/>
          <w:u w:val="single"/>
          <w:lang w:eastAsia="x-none"/>
        </w:rPr>
        <w:t>2</w:t>
      </w:r>
      <w:r w:rsidR="00617AD7" w:rsidRPr="002A2F85">
        <w:rPr>
          <w:b/>
          <w:bCs/>
          <w:i/>
          <w:u w:val="single"/>
          <w:lang w:eastAsia="x-none"/>
        </w:rPr>
        <w:t xml:space="preserve">: </w:t>
      </w:r>
      <w:r w:rsidRPr="002A2F85">
        <w:rPr>
          <w:b/>
          <w:bCs/>
          <w:i/>
          <w:u w:val="single"/>
          <w:lang w:eastAsia="x-none"/>
        </w:rPr>
        <w:t xml:space="preserve"> </w:t>
      </w:r>
      <w:r w:rsidR="00B34C66" w:rsidRPr="002A2F85">
        <w:rPr>
          <w:rFonts w:ascii="Calibri" w:hAnsi="Calibri" w:cs="Calibri"/>
          <w:b/>
          <w:bCs/>
          <w:i/>
        </w:rPr>
        <w:t xml:space="preserve">Applicability of accuracy requirements under TA adjustment </w:t>
      </w:r>
      <w:r w:rsidR="00B34C66" w:rsidRPr="002A2F85">
        <w:rPr>
          <w:rFonts w:ascii="Calibri" w:hAnsi="Calibri" w:cs="Calibri"/>
          <w:b/>
          <w:bCs/>
          <w:i/>
          <w:lang w:val="en-GB"/>
        </w:rPr>
        <w:t xml:space="preserve">if the uplink transmission timing changes during the UE Rx-Tx measurement period due to autonomous adjustment </w:t>
      </w:r>
      <w:r w:rsidR="00617AD7" w:rsidRPr="002A2F85">
        <w:rPr>
          <w:rFonts w:ascii="Calibri" w:hAnsi="Calibri" w:cs="Calibri"/>
          <w:b/>
          <w:bCs/>
          <w:i/>
          <w:lang w:val="en-GB"/>
        </w:rPr>
        <w:t xml:space="preserve"> can be</w:t>
      </w:r>
      <w:r w:rsidR="00B34C66" w:rsidRPr="002A2F85">
        <w:rPr>
          <w:rFonts w:ascii="Calibri" w:hAnsi="Calibri" w:cs="Calibri"/>
          <w:b/>
          <w:bCs/>
          <w:i/>
        </w:rPr>
        <w:t>:</w:t>
      </w:r>
    </w:p>
    <w:p w14:paraId="76474DA5" w14:textId="77777777" w:rsidR="00B34C66" w:rsidRPr="002A2F85" w:rsidRDefault="00B34C66" w:rsidP="00617AD7">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UE Rx-Tx measurement accuracy requirements shall apply </w:t>
      </w:r>
      <w:r w:rsidRPr="002A2F85">
        <w:rPr>
          <w:rFonts w:ascii="Calibri" w:hAnsi="Calibri" w:cs="Calibri"/>
          <w:b/>
          <w:bCs/>
          <w:i/>
        </w:rPr>
        <w:t xml:space="preserve">for a serving cell </w:t>
      </w:r>
      <w:r w:rsidRPr="002A2F85">
        <w:rPr>
          <w:rFonts w:ascii="Calibri" w:hAnsi="Calibri" w:cs="Calibri"/>
          <w:b/>
          <w:bCs/>
          <w:i/>
          <w:lang w:val="en-GB"/>
        </w:rPr>
        <w:t>even if the uplink transmission timing changes during the UE Rx-Tx measurement period due to autonomous adjustment.</w:t>
      </w:r>
    </w:p>
    <w:p w14:paraId="129966DC" w14:textId="3ECF6C8E" w:rsidR="0079316C" w:rsidRPr="002A2F85" w:rsidRDefault="00B34C66" w:rsidP="00734250">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the UE Rx-Tx measurement accuracy requirements shall not apply </w:t>
      </w:r>
      <w:r w:rsidRPr="002A2F85">
        <w:rPr>
          <w:rFonts w:ascii="Calibri" w:hAnsi="Calibri" w:cs="Calibri"/>
          <w:b/>
          <w:bCs/>
          <w:i/>
        </w:rPr>
        <w:t xml:space="preserve">for a neighbor cell </w:t>
      </w:r>
      <w:r w:rsidRPr="002A2F85">
        <w:rPr>
          <w:rFonts w:ascii="Calibri" w:hAnsi="Calibri" w:cs="Calibri"/>
          <w:b/>
          <w:bCs/>
          <w:i/>
          <w:lang w:val="en-GB"/>
        </w:rPr>
        <w:t>if the uplink transmission timing changes during the UE Rx-Tx measurement period due to autonomous adjustment</w:t>
      </w:r>
    </w:p>
    <w:bookmarkEnd w:id="4"/>
    <w:p w14:paraId="2F38287E" w14:textId="6427E4F8"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4200C9C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3769A1">
        <w:rPr>
          <w:rFonts w:cs="Arial"/>
        </w:rPr>
        <w:t>NR positioning</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6BAFB5A2" w14:textId="77777777" w:rsidR="00014284" w:rsidRPr="00DF7185" w:rsidRDefault="00014284" w:rsidP="00014284">
      <w:pPr>
        <w:spacing w:after="0" w:line="240" w:lineRule="auto"/>
        <w:rPr>
          <w:b/>
          <w:bCs/>
          <w:i/>
          <w:iCs/>
        </w:rPr>
      </w:pPr>
      <w:r w:rsidRPr="00DF7185">
        <w:rPr>
          <w:b/>
          <w:bCs/>
          <w:i/>
          <w:iCs/>
          <w:u w:val="single"/>
        </w:rPr>
        <w:t xml:space="preserve">Proposal </w:t>
      </w:r>
      <w:r>
        <w:rPr>
          <w:b/>
          <w:bCs/>
          <w:i/>
          <w:iCs/>
          <w:u w:val="single"/>
        </w:rPr>
        <w:t>1</w:t>
      </w:r>
      <w:r w:rsidRPr="00DF7185">
        <w:rPr>
          <w:b/>
          <w:bCs/>
          <w:i/>
          <w:iCs/>
        </w:rPr>
        <w:t xml:space="preserve"> : The maximum frequency drift between the measured TRPs can be dependent the maximum time offsets among the measured TRPs/cells (e.g. 2* </w:t>
      </w:r>
      <w:proofErr w:type="spellStart"/>
      <w:r w:rsidRPr="00DF7185">
        <w:rPr>
          <w:b/>
          <w:bCs/>
          <w:i/>
          <w:iCs/>
        </w:rPr>
        <w:t>expectedRSTD</w:t>
      </w:r>
      <w:proofErr w:type="spellEnd"/>
      <w:r w:rsidRPr="00DF7185">
        <w:rPr>
          <w:b/>
          <w:bCs/>
          <w:i/>
          <w:iCs/>
        </w:rPr>
        <w:t>)</w:t>
      </w:r>
    </w:p>
    <w:p w14:paraId="0D97E974" w14:textId="77777777" w:rsidR="00014284" w:rsidRPr="002A2F85" w:rsidRDefault="00014284" w:rsidP="00014284">
      <w:pPr>
        <w:overflowPunct w:val="0"/>
        <w:autoSpaceDE w:val="0"/>
        <w:autoSpaceDN w:val="0"/>
        <w:adjustRightInd w:val="0"/>
        <w:spacing w:after="180" w:line="240" w:lineRule="auto"/>
        <w:textAlignment w:val="baseline"/>
        <w:rPr>
          <w:rFonts w:ascii="Calibri" w:hAnsi="Calibri" w:cs="Calibri"/>
          <w:b/>
          <w:bCs/>
          <w:i/>
        </w:rPr>
      </w:pPr>
      <w:r w:rsidRPr="00FD089C">
        <w:rPr>
          <w:b/>
          <w:bCs/>
          <w:i/>
          <w:u w:val="single"/>
          <w:lang w:eastAsia="x-none"/>
        </w:rPr>
        <w:t>Proposal</w:t>
      </w:r>
      <w:r>
        <w:rPr>
          <w:b/>
          <w:bCs/>
          <w:i/>
          <w:u w:val="single"/>
          <w:lang w:eastAsia="x-none"/>
        </w:rPr>
        <w:t xml:space="preserve"> 2</w:t>
      </w:r>
      <w:r w:rsidRPr="002A2F85">
        <w:rPr>
          <w:b/>
          <w:bCs/>
          <w:i/>
          <w:u w:val="single"/>
          <w:lang w:eastAsia="x-none"/>
        </w:rPr>
        <w:t xml:space="preserve">:  </w:t>
      </w:r>
      <w:r w:rsidRPr="002A2F85">
        <w:rPr>
          <w:rFonts w:ascii="Calibri" w:hAnsi="Calibri" w:cs="Calibri"/>
          <w:b/>
          <w:bCs/>
          <w:i/>
        </w:rPr>
        <w:t xml:space="preserve">Applicability of accuracy requirements under TA adjustment </w:t>
      </w:r>
      <w:r w:rsidRPr="002A2F85">
        <w:rPr>
          <w:rFonts w:ascii="Calibri" w:hAnsi="Calibri" w:cs="Calibri"/>
          <w:b/>
          <w:bCs/>
          <w:i/>
          <w:lang w:val="en-GB"/>
        </w:rPr>
        <w:t>if the uplink transmission timing changes during the UE Rx-Tx measurement period due to autonomous adjustment  can be</w:t>
      </w:r>
      <w:r w:rsidRPr="002A2F85">
        <w:rPr>
          <w:rFonts w:ascii="Calibri" w:hAnsi="Calibri" w:cs="Calibri"/>
          <w:b/>
          <w:bCs/>
          <w:i/>
        </w:rPr>
        <w:t>:</w:t>
      </w:r>
    </w:p>
    <w:p w14:paraId="17E3C722" w14:textId="77777777" w:rsidR="00014284" w:rsidRPr="002A2F85" w:rsidRDefault="00014284" w:rsidP="00014284">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UE Rx-Tx measurement accuracy requirements shall apply </w:t>
      </w:r>
      <w:r w:rsidRPr="002A2F85">
        <w:rPr>
          <w:rFonts w:ascii="Calibri" w:hAnsi="Calibri" w:cs="Calibri"/>
          <w:b/>
          <w:bCs/>
          <w:i/>
        </w:rPr>
        <w:t xml:space="preserve">for a serving cell </w:t>
      </w:r>
      <w:r w:rsidRPr="002A2F85">
        <w:rPr>
          <w:rFonts w:ascii="Calibri" w:hAnsi="Calibri" w:cs="Calibri"/>
          <w:b/>
          <w:bCs/>
          <w:i/>
          <w:lang w:val="en-GB"/>
        </w:rPr>
        <w:t>even if the uplink transmission timing changes during the UE Rx-Tx measurement period due to autonomous adjustment.</w:t>
      </w:r>
    </w:p>
    <w:p w14:paraId="185B1B7A" w14:textId="77777777" w:rsidR="00014284" w:rsidRPr="002A2F85" w:rsidRDefault="00014284" w:rsidP="00014284">
      <w:pPr>
        <w:numPr>
          <w:ilvl w:val="1"/>
          <w:numId w:val="10"/>
        </w:numPr>
        <w:overflowPunct w:val="0"/>
        <w:autoSpaceDE w:val="0"/>
        <w:autoSpaceDN w:val="0"/>
        <w:adjustRightInd w:val="0"/>
        <w:spacing w:after="180" w:line="240" w:lineRule="auto"/>
        <w:textAlignment w:val="baseline"/>
        <w:rPr>
          <w:rFonts w:ascii="Calibri" w:hAnsi="Calibri" w:cs="Calibri"/>
          <w:b/>
          <w:bCs/>
          <w:i/>
        </w:rPr>
      </w:pPr>
      <w:r w:rsidRPr="002A2F85">
        <w:rPr>
          <w:rFonts w:ascii="Calibri" w:hAnsi="Calibri" w:cs="Calibri"/>
          <w:b/>
          <w:bCs/>
          <w:i/>
          <w:lang w:val="en-GB"/>
        </w:rPr>
        <w:t xml:space="preserve">the UE Rx-Tx measurement accuracy requirements shall not apply </w:t>
      </w:r>
      <w:r w:rsidRPr="002A2F85">
        <w:rPr>
          <w:rFonts w:ascii="Calibri" w:hAnsi="Calibri" w:cs="Calibri"/>
          <w:b/>
          <w:bCs/>
          <w:i/>
        </w:rPr>
        <w:t xml:space="preserve">for a neighbor cell </w:t>
      </w:r>
      <w:r w:rsidRPr="002A2F85">
        <w:rPr>
          <w:rFonts w:ascii="Calibri" w:hAnsi="Calibri" w:cs="Calibri"/>
          <w:b/>
          <w:bCs/>
          <w:i/>
          <w:lang w:val="en-GB"/>
        </w:rPr>
        <w:t>if the uplink transmission timing changes during the UE Rx-Tx measurement period due to autonomous adjustment</w:t>
      </w:r>
    </w:p>
    <w:p w14:paraId="2B8F169B" w14:textId="77777777" w:rsidR="009010FB" w:rsidRPr="00DB6465" w:rsidRDefault="009010FB"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01C9D7D4" w14:textId="47F5EB5A" w:rsidR="0053463C" w:rsidRPr="00D160EA" w:rsidRDefault="0053463C" w:rsidP="0053463C">
      <w:pPr>
        <w:numPr>
          <w:ilvl w:val="0"/>
          <w:numId w:val="1"/>
        </w:numPr>
        <w:spacing w:after="200" w:line="276" w:lineRule="auto"/>
        <w:rPr>
          <w:rFonts w:cstheme="minorHAnsi"/>
          <w:bCs/>
          <w:lang w:eastAsia="ko-KR"/>
        </w:rPr>
      </w:pPr>
      <w:r w:rsidRPr="007F29A6">
        <w:rPr>
          <w:rFonts w:cstheme="minorHAnsi"/>
        </w:rPr>
        <w:t>R4-2</w:t>
      </w:r>
      <w:r w:rsidR="00FB53A8">
        <w:rPr>
          <w:rFonts w:cstheme="minorHAnsi"/>
        </w:rPr>
        <w:t>1</w:t>
      </w:r>
      <w:r w:rsidR="00EC735F">
        <w:rPr>
          <w:rFonts w:cstheme="minorHAnsi"/>
        </w:rPr>
        <w:t>15307</w:t>
      </w:r>
      <w:r>
        <w:rPr>
          <w:rFonts w:cstheme="minorHAnsi"/>
        </w:rPr>
        <w:t>, “</w:t>
      </w:r>
      <w:bookmarkStart w:id="5"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5"/>
      <w:r>
        <w:rPr>
          <w:rFonts w:cstheme="minorHAnsi"/>
        </w:rPr>
        <w:t>”</w:t>
      </w:r>
      <w:r>
        <w:t xml:space="preserve"> </w:t>
      </w:r>
    </w:p>
    <w:p w14:paraId="37698FAC" w14:textId="7BC95D4D" w:rsidR="0053463C" w:rsidRDefault="0053463C" w:rsidP="00074A7F">
      <w:pPr>
        <w:numPr>
          <w:ilvl w:val="0"/>
          <w:numId w:val="1"/>
        </w:numPr>
        <w:rPr>
          <w:rFonts w:cs="Arial"/>
        </w:rPr>
      </w:pPr>
      <w:r w:rsidRPr="009010FB">
        <w:rPr>
          <w:rFonts w:cs="Arial"/>
        </w:rPr>
        <w:t>3GPP TS 38.133 v16.</w:t>
      </w:r>
      <w:r w:rsidR="009010FB" w:rsidRPr="009010FB">
        <w:rPr>
          <w:rFonts w:cs="Arial"/>
        </w:rPr>
        <w:t>8.</w:t>
      </w:r>
      <w:r w:rsidRPr="009010FB">
        <w:rPr>
          <w:rFonts w:cs="Arial"/>
        </w:rPr>
        <w:t>0: "NR: Requirements for support of radio resource management "</w:t>
      </w:r>
    </w:p>
    <w:p w14:paraId="7B87F318" w14:textId="77777777" w:rsidR="003C62CD" w:rsidRDefault="003C62CD" w:rsidP="003C62CD">
      <w:pPr>
        <w:numPr>
          <w:ilvl w:val="0"/>
          <w:numId w:val="1"/>
        </w:numPr>
        <w:spacing w:after="200" w:line="276" w:lineRule="auto"/>
        <w:rPr>
          <w:rFonts w:cstheme="minorHAnsi"/>
          <w:bCs/>
          <w:lang w:eastAsia="ko-KR"/>
        </w:rPr>
      </w:pPr>
      <w:r w:rsidRPr="00D15202">
        <w:rPr>
          <w:rFonts w:cstheme="minorHAnsi"/>
          <w:bCs/>
          <w:lang w:eastAsia="ko-KR"/>
        </w:rPr>
        <w:t>3GPP TS 38.1</w:t>
      </w:r>
      <w:r>
        <w:rPr>
          <w:rFonts w:cstheme="minorHAnsi"/>
          <w:bCs/>
          <w:lang w:eastAsia="ko-KR"/>
        </w:rPr>
        <w:t>01-4</w:t>
      </w:r>
      <w:r w:rsidRPr="00D15202">
        <w:rPr>
          <w:rFonts w:cstheme="minorHAnsi"/>
          <w:bCs/>
          <w:lang w:eastAsia="ko-KR"/>
        </w:rPr>
        <w:t xml:space="preserve"> v1</w:t>
      </w:r>
      <w:r>
        <w:rPr>
          <w:rFonts w:cstheme="minorHAnsi"/>
          <w:bCs/>
          <w:lang w:eastAsia="ko-KR"/>
        </w:rPr>
        <w:t>6</w:t>
      </w:r>
      <w:r w:rsidRPr="00D15202">
        <w:rPr>
          <w:rFonts w:cstheme="minorHAnsi"/>
          <w:bCs/>
          <w:lang w:eastAsia="ko-KR"/>
        </w:rPr>
        <w:t>.</w:t>
      </w:r>
      <w:r>
        <w:rPr>
          <w:rFonts w:cstheme="minorHAnsi"/>
          <w:bCs/>
          <w:lang w:eastAsia="ko-KR"/>
        </w:rPr>
        <w:t>8</w:t>
      </w:r>
      <w:r w:rsidRPr="00D15202">
        <w:rPr>
          <w:rFonts w:cstheme="minorHAnsi"/>
          <w:bCs/>
          <w:lang w:eastAsia="ko-KR"/>
        </w:rPr>
        <w:t>.0</w:t>
      </w:r>
    </w:p>
    <w:sectPr w:rsidR="003C62C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83FE" w14:textId="77777777" w:rsidR="00A4528C" w:rsidRDefault="00A4528C">
      <w:r>
        <w:separator/>
      </w:r>
    </w:p>
  </w:endnote>
  <w:endnote w:type="continuationSeparator" w:id="0">
    <w:p w14:paraId="3D080A80" w14:textId="77777777" w:rsidR="00A4528C" w:rsidRDefault="00A4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mbolMT">
    <w:altName w:val="Cambria"/>
    <w:panose1 w:val="00000000000000000000"/>
    <w:charset w:val="00"/>
    <w:family w:val="roman"/>
    <w:notTrueType/>
    <w:pitch w:val="default"/>
  </w:font>
  <w:font w:name="Arial-ItalicMT">
    <w:altName w:val="Arial"/>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2E53" w14:textId="77777777" w:rsidR="00A4528C" w:rsidRDefault="00A4528C">
      <w:r>
        <w:separator/>
      </w:r>
    </w:p>
  </w:footnote>
  <w:footnote w:type="continuationSeparator" w:id="0">
    <w:p w14:paraId="3256D2D8" w14:textId="77777777" w:rsidR="00A4528C" w:rsidRDefault="00A4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C7FF9"/>
    <w:multiLevelType w:val="hybridMultilevel"/>
    <w:tmpl w:val="6E6A7562"/>
    <w:lvl w:ilvl="0" w:tplc="8F6A4382">
      <w:start w:val="1"/>
      <w:numFmt w:val="bullet"/>
      <w:lvlText w:val="–"/>
      <w:lvlJc w:val="left"/>
      <w:pPr>
        <w:tabs>
          <w:tab w:val="num" w:pos="720"/>
        </w:tabs>
        <w:ind w:left="720" w:hanging="360"/>
      </w:pPr>
      <w:rPr>
        <w:rFonts w:ascii="Arial" w:hAnsi="Arial" w:hint="default"/>
      </w:rPr>
    </w:lvl>
    <w:lvl w:ilvl="1" w:tplc="20C80D60">
      <w:start w:val="1"/>
      <w:numFmt w:val="bullet"/>
      <w:lvlText w:val="–"/>
      <w:lvlJc w:val="left"/>
      <w:pPr>
        <w:tabs>
          <w:tab w:val="num" w:pos="1440"/>
        </w:tabs>
        <w:ind w:left="1440" w:hanging="360"/>
      </w:pPr>
      <w:rPr>
        <w:rFonts w:ascii="Arial" w:hAnsi="Arial" w:hint="default"/>
      </w:rPr>
    </w:lvl>
    <w:lvl w:ilvl="2" w:tplc="88BC3FA8" w:tentative="1">
      <w:start w:val="1"/>
      <w:numFmt w:val="bullet"/>
      <w:lvlText w:val="–"/>
      <w:lvlJc w:val="left"/>
      <w:pPr>
        <w:tabs>
          <w:tab w:val="num" w:pos="2160"/>
        </w:tabs>
        <w:ind w:left="2160" w:hanging="360"/>
      </w:pPr>
      <w:rPr>
        <w:rFonts w:ascii="Arial" w:hAnsi="Arial" w:hint="default"/>
      </w:rPr>
    </w:lvl>
    <w:lvl w:ilvl="3" w:tplc="9A6EF0FC" w:tentative="1">
      <w:start w:val="1"/>
      <w:numFmt w:val="bullet"/>
      <w:lvlText w:val="–"/>
      <w:lvlJc w:val="left"/>
      <w:pPr>
        <w:tabs>
          <w:tab w:val="num" w:pos="2880"/>
        </w:tabs>
        <w:ind w:left="2880" w:hanging="360"/>
      </w:pPr>
      <w:rPr>
        <w:rFonts w:ascii="Arial" w:hAnsi="Arial" w:hint="default"/>
      </w:rPr>
    </w:lvl>
    <w:lvl w:ilvl="4" w:tplc="B146467E" w:tentative="1">
      <w:start w:val="1"/>
      <w:numFmt w:val="bullet"/>
      <w:lvlText w:val="–"/>
      <w:lvlJc w:val="left"/>
      <w:pPr>
        <w:tabs>
          <w:tab w:val="num" w:pos="3600"/>
        </w:tabs>
        <w:ind w:left="3600" w:hanging="360"/>
      </w:pPr>
      <w:rPr>
        <w:rFonts w:ascii="Arial" w:hAnsi="Arial" w:hint="default"/>
      </w:rPr>
    </w:lvl>
    <w:lvl w:ilvl="5" w:tplc="C9D689E6" w:tentative="1">
      <w:start w:val="1"/>
      <w:numFmt w:val="bullet"/>
      <w:lvlText w:val="–"/>
      <w:lvlJc w:val="left"/>
      <w:pPr>
        <w:tabs>
          <w:tab w:val="num" w:pos="4320"/>
        </w:tabs>
        <w:ind w:left="4320" w:hanging="360"/>
      </w:pPr>
      <w:rPr>
        <w:rFonts w:ascii="Arial" w:hAnsi="Arial" w:hint="default"/>
      </w:rPr>
    </w:lvl>
    <w:lvl w:ilvl="6" w:tplc="E070BDE6" w:tentative="1">
      <w:start w:val="1"/>
      <w:numFmt w:val="bullet"/>
      <w:lvlText w:val="–"/>
      <w:lvlJc w:val="left"/>
      <w:pPr>
        <w:tabs>
          <w:tab w:val="num" w:pos="5040"/>
        </w:tabs>
        <w:ind w:left="5040" w:hanging="360"/>
      </w:pPr>
      <w:rPr>
        <w:rFonts w:ascii="Arial" w:hAnsi="Arial" w:hint="default"/>
      </w:rPr>
    </w:lvl>
    <w:lvl w:ilvl="7" w:tplc="AFCEE86C" w:tentative="1">
      <w:start w:val="1"/>
      <w:numFmt w:val="bullet"/>
      <w:lvlText w:val="–"/>
      <w:lvlJc w:val="left"/>
      <w:pPr>
        <w:tabs>
          <w:tab w:val="num" w:pos="5760"/>
        </w:tabs>
        <w:ind w:left="5760" w:hanging="360"/>
      </w:pPr>
      <w:rPr>
        <w:rFonts w:ascii="Arial" w:hAnsi="Arial" w:hint="default"/>
      </w:rPr>
    </w:lvl>
    <w:lvl w:ilvl="8" w:tplc="39B2C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C36ED"/>
    <w:multiLevelType w:val="hybridMultilevel"/>
    <w:tmpl w:val="CC80E1B6"/>
    <w:lvl w:ilvl="0" w:tplc="B64E4B90">
      <w:start w:val="1"/>
      <w:numFmt w:val="bullet"/>
      <w:lvlText w:val="•"/>
      <w:lvlJc w:val="left"/>
      <w:pPr>
        <w:tabs>
          <w:tab w:val="num" w:pos="720"/>
        </w:tabs>
        <w:ind w:left="720" w:hanging="360"/>
      </w:pPr>
      <w:rPr>
        <w:rFonts w:ascii="Arial" w:hAnsi="Arial" w:hint="default"/>
      </w:rPr>
    </w:lvl>
    <w:lvl w:ilvl="1" w:tplc="545A5A86" w:tentative="1">
      <w:start w:val="1"/>
      <w:numFmt w:val="bullet"/>
      <w:lvlText w:val="•"/>
      <w:lvlJc w:val="left"/>
      <w:pPr>
        <w:tabs>
          <w:tab w:val="num" w:pos="1440"/>
        </w:tabs>
        <w:ind w:left="1440" w:hanging="360"/>
      </w:pPr>
      <w:rPr>
        <w:rFonts w:ascii="Arial" w:hAnsi="Arial" w:hint="default"/>
      </w:rPr>
    </w:lvl>
    <w:lvl w:ilvl="2" w:tplc="317EF440" w:tentative="1">
      <w:start w:val="1"/>
      <w:numFmt w:val="bullet"/>
      <w:lvlText w:val="•"/>
      <w:lvlJc w:val="left"/>
      <w:pPr>
        <w:tabs>
          <w:tab w:val="num" w:pos="2160"/>
        </w:tabs>
        <w:ind w:left="2160" w:hanging="360"/>
      </w:pPr>
      <w:rPr>
        <w:rFonts w:ascii="Arial" w:hAnsi="Arial" w:hint="default"/>
      </w:rPr>
    </w:lvl>
    <w:lvl w:ilvl="3" w:tplc="D9088C62" w:tentative="1">
      <w:start w:val="1"/>
      <w:numFmt w:val="bullet"/>
      <w:lvlText w:val="•"/>
      <w:lvlJc w:val="left"/>
      <w:pPr>
        <w:tabs>
          <w:tab w:val="num" w:pos="2880"/>
        </w:tabs>
        <w:ind w:left="2880" w:hanging="360"/>
      </w:pPr>
      <w:rPr>
        <w:rFonts w:ascii="Arial" w:hAnsi="Arial" w:hint="default"/>
      </w:rPr>
    </w:lvl>
    <w:lvl w:ilvl="4" w:tplc="24C8520C" w:tentative="1">
      <w:start w:val="1"/>
      <w:numFmt w:val="bullet"/>
      <w:lvlText w:val="•"/>
      <w:lvlJc w:val="left"/>
      <w:pPr>
        <w:tabs>
          <w:tab w:val="num" w:pos="3600"/>
        </w:tabs>
        <w:ind w:left="3600" w:hanging="360"/>
      </w:pPr>
      <w:rPr>
        <w:rFonts w:ascii="Arial" w:hAnsi="Arial" w:hint="default"/>
      </w:rPr>
    </w:lvl>
    <w:lvl w:ilvl="5" w:tplc="01E05F0A" w:tentative="1">
      <w:start w:val="1"/>
      <w:numFmt w:val="bullet"/>
      <w:lvlText w:val="•"/>
      <w:lvlJc w:val="left"/>
      <w:pPr>
        <w:tabs>
          <w:tab w:val="num" w:pos="4320"/>
        </w:tabs>
        <w:ind w:left="4320" w:hanging="360"/>
      </w:pPr>
      <w:rPr>
        <w:rFonts w:ascii="Arial" w:hAnsi="Arial" w:hint="default"/>
      </w:rPr>
    </w:lvl>
    <w:lvl w:ilvl="6" w:tplc="7EF61A76" w:tentative="1">
      <w:start w:val="1"/>
      <w:numFmt w:val="bullet"/>
      <w:lvlText w:val="•"/>
      <w:lvlJc w:val="left"/>
      <w:pPr>
        <w:tabs>
          <w:tab w:val="num" w:pos="5040"/>
        </w:tabs>
        <w:ind w:left="5040" w:hanging="360"/>
      </w:pPr>
      <w:rPr>
        <w:rFonts w:ascii="Arial" w:hAnsi="Arial" w:hint="default"/>
      </w:rPr>
    </w:lvl>
    <w:lvl w:ilvl="7" w:tplc="682491E2" w:tentative="1">
      <w:start w:val="1"/>
      <w:numFmt w:val="bullet"/>
      <w:lvlText w:val="•"/>
      <w:lvlJc w:val="left"/>
      <w:pPr>
        <w:tabs>
          <w:tab w:val="num" w:pos="5760"/>
        </w:tabs>
        <w:ind w:left="5760" w:hanging="360"/>
      </w:pPr>
      <w:rPr>
        <w:rFonts w:ascii="Arial" w:hAnsi="Arial" w:hint="default"/>
      </w:rPr>
    </w:lvl>
    <w:lvl w:ilvl="8" w:tplc="1D3873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0729C"/>
    <w:multiLevelType w:val="hybridMultilevel"/>
    <w:tmpl w:val="2976181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96AE5"/>
    <w:multiLevelType w:val="hybridMultilevel"/>
    <w:tmpl w:val="56684146"/>
    <w:lvl w:ilvl="0" w:tplc="6C100C98">
      <w:start w:val="1"/>
      <w:numFmt w:val="bullet"/>
      <w:lvlText w:val="•"/>
      <w:lvlJc w:val="left"/>
      <w:pPr>
        <w:tabs>
          <w:tab w:val="num" w:pos="720"/>
        </w:tabs>
        <w:ind w:left="720" w:hanging="360"/>
      </w:pPr>
      <w:rPr>
        <w:rFonts w:ascii="Arial" w:hAnsi="Arial" w:hint="default"/>
      </w:rPr>
    </w:lvl>
    <w:lvl w:ilvl="1" w:tplc="8AD21296">
      <w:numFmt w:val="bullet"/>
      <w:lvlText w:val="–"/>
      <w:lvlJc w:val="left"/>
      <w:pPr>
        <w:tabs>
          <w:tab w:val="num" w:pos="1440"/>
        </w:tabs>
        <w:ind w:left="1440" w:hanging="360"/>
      </w:pPr>
      <w:rPr>
        <w:rFonts w:ascii="Arial" w:hAnsi="Arial" w:hint="default"/>
      </w:rPr>
    </w:lvl>
    <w:lvl w:ilvl="2" w:tplc="680AB5E6">
      <w:numFmt w:val="bullet"/>
      <w:lvlText w:val="–"/>
      <w:lvlJc w:val="left"/>
      <w:pPr>
        <w:tabs>
          <w:tab w:val="num" w:pos="2160"/>
        </w:tabs>
        <w:ind w:left="2160" w:hanging="360"/>
      </w:pPr>
      <w:rPr>
        <w:rFonts w:ascii="Arial" w:hAnsi="Arial" w:hint="default"/>
      </w:rPr>
    </w:lvl>
    <w:lvl w:ilvl="3" w:tplc="D6F4EB40" w:tentative="1">
      <w:start w:val="1"/>
      <w:numFmt w:val="bullet"/>
      <w:lvlText w:val="•"/>
      <w:lvlJc w:val="left"/>
      <w:pPr>
        <w:tabs>
          <w:tab w:val="num" w:pos="2880"/>
        </w:tabs>
        <w:ind w:left="2880" w:hanging="360"/>
      </w:pPr>
      <w:rPr>
        <w:rFonts w:ascii="Arial" w:hAnsi="Arial" w:hint="default"/>
      </w:rPr>
    </w:lvl>
    <w:lvl w:ilvl="4" w:tplc="8424D0AA" w:tentative="1">
      <w:start w:val="1"/>
      <w:numFmt w:val="bullet"/>
      <w:lvlText w:val="•"/>
      <w:lvlJc w:val="left"/>
      <w:pPr>
        <w:tabs>
          <w:tab w:val="num" w:pos="3600"/>
        </w:tabs>
        <w:ind w:left="3600" w:hanging="360"/>
      </w:pPr>
      <w:rPr>
        <w:rFonts w:ascii="Arial" w:hAnsi="Arial" w:hint="default"/>
      </w:rPr>
    </w:lvl>
    <w:lvl w:ilvl="5" w:tplc="BCF23990" w:tentative="1">
      <w:start w:val="1"/>
      <w:numFmt w:val="bullet"/>
      <w:lvlText w:val="•"/>
      <w:lvlJc w:val="left"/>
      <w:pPr>
        <w:tabs>
          <w:tab w:val="num" w:pos="4320"/>
        </w:tabs>
        <w:ind w:left="4320" w:hanging="360"/>
      </w:pPr>
      <w:rPr>
        <w:rFonts w:ascii="Arial" w:hAnsi="Arial" w:hint="default"/>
      </w:rPr>
    </w:lvl>
    <w:lvl w:ilvl="6" w:tplc="B7389300" w:tentative="1">
      <w:start w:val="1"/>
      <w:numFmt w:val="bullet"/>
      <w:lvlText w:val="•"/>
      <w:lvlJc w:val="left"/>
      <w:pPr>
        <w:tabs>
          <w:tab w:val="num" w:pos="5040"/>
        </w:tabs>
        <w:ind w:left="5040" w:hanging="360"/>
      </w:pPr>
      <w:rPr>
        <w:rFonts w:ascii="Arial" w:hAnsi="Arial" w:hint="default"/>
      </w:rPr>
    </w:lvl>
    <w:lvl w:ilvl="7" w:tplc="06E25656" w:tentative="1">
      <w:start w:val="1"/>
      <w:numFmt w:val="bullet"/>
      <w:lvlText w:val="•"/>
      <w:lvlJc w:val="left"/>
      <w:pPr>
        <w:tabs>
          <w:tab w:val="num" w:pos="5760"/>
        </w:tabs>
        <w:ind w:left="5760" w:hanging="360"/>
      </w:pPr>
      <w:rPr>
        <w:rFonts w:ascii="Arial" w:hAnsi="Arial" w:hint="default"/>
      </w:rPr>
    </w:lvl>
    <w:lvl w:ilvl="8" w:tplc="BBB4A2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375739A"/>
    <w:multiLevelType w:val="hybridMultilevel"/>
    <w:tmpl w:val="6DAE2094"/>
    <w:lvl w:ilvl="0" w:tplc="38D0F25C">
      <w:start w:val="1"/>
      <w:numFmt w:val="bullet"/>
      <w:lvlText w:val="•"/>
      <w:lvlJc w:val="left"/>
      <w:pPr>
        <w:tabs>
          <w:tab w:val="num" w:pos="720"/>
        </w:tabs>
        <w:ind w:left="720" w:hanging="360"/>
      </w:pPr>
      <w:rPr>
        <w:rFonts w:ascii="Arial" w:hAnsi="Arial" w:hint="default"/>
      </w:rPr>
    </w:lvl>
    <w:lvl w:ilvl="1" w:tplc="545249E2">
      <w:numFmt w:val="bullet"/>
      <w:lvlText w:val="–"/>
      <w:lvlJc w:val="left"/>
      <w:pPr>
        <w:tabs>
          <w:tab w:val="num" w:pos="1440"/>
        </w:tabs>
        <w:ind w:left="1440" w:hanging="360"/>
      </w:pPr>
      <w:rPr>
        <w:rFonts w:ascii="Arial" w:hAnsi="Arial" w:hint="default"/>
      </w:rPr>
    </w:lvl>
    <w:lvl w:ilvl="2" w:tplc="C3F40DAE">
      <w:start w:val="1"/>
      <w:numFmt w:val="bullet"/>
      <w:lvlText w:val="•"/>
      <w:lvlJc w:val="left"/>
      <w:pPr>
        <w:tabs>
          <w:tab w:val="num" w:pos="2160"/>
        </w:tabs>
        <w:ind w:left="2160" w:hanging="360"/>
      </w:pPr>
      <w:rPr>
        <w:rFonts w:ascii="Arial" w:hAnsi="Arial" w:hint="default"/>
      </w:rPr>
    </w:lvl>
    <w:lvl w:ilvl="3" w:tplc="07F21276" w:tentative="1">
      <w:start w:val="1"/>
      <w:numFmt w:val="bullet"/>
      <w:lvlText w:val="•"/>
      <w:lvlJc w:val="left"/>
      <w:pPr>
        <w:tabs>
          <w:tab w:val="num" w:pos="2880"/>
        </w:tabs>
        <w:ind w:left="2880" w:hanging="360"/>
      </w:pPr>
      <w:rPr>
        <w:rFonts w:ascii="Arial" w:hAnsi="Arial" w:hint="default"/>
      </w:rPr>
    </w:lvl>
    <w:lvl w:ilvl="4" w:tplc="8196EDF2" w:tentative="1">
      <w:start w:val="1"/>
      <w:numFmt w:val="bullet"/>
      <w:lvlText w:val="•"/>
      <w:lvlJc w:val="left"/>
      <w:pPr>
        <w:tabs>
          <w:tab w:val="num" w:pos="3600"/>
        </w:tabs>
        <w:ind w:left="3600" w:hanging="360"/>
      </w:pPr>
      <w:rPr>
        <w:rFonts w:ascii="Arial" w:hAnsi="Arial" w:hint="default"/>
      </w:rPr>
    </w:lvl>
    <w:lvl w:ilvl="5" w:tplc="07E414DA" w:tentative="1">
      <w:start w:val="1"/>
      <w:numFmt w:val="bullet"/>
      <w:lvlText w:val="•"/>
      <w:lvlJc w:val="left"/>
      <w:pPr>
        <w:tabs>
          <w:tab w:val="num" w:pos="4320"/>
        </w:tabs>
        <w:ind w:left="4320" w:hanging="360"/>
      </w:pPr>
      <w:rPr>
        <w:rFonts w:ascii="Arial" w:hAnsi="Arial" w:hint="default"/>
      </w:rPr>
    </w:lvl>
    <w:lvl w:ilvl="6" w:tplc="5942A346" w:tentative="1">
      <w:start w:val="1"/>
      <w:numFmt w:val="bullet"/>
      <w:lvlText w:val="•"/>
      <w:lvlJc w:val="left"/>
      <w:pPr>
        <w:tabs>
          <w:tab w:val="num" w:pos="5040"/>
        </w:tabs>
        <w:ind w:left="5040" w:hanging="360"/>
      </w:pPr>
      <w:rPr>
        <w:rFonts w:ascii="Arial" w:hAnsi="Arial" w:hint="default"/>
      </w:rPr>
    </w:lvl>
    <w:lvl w:ilvl="7" w:tplc="5B367F7E" w:tentative="1">
      <w:start w:val="1"/>
      <w:numFmt w:val="bullet"/>
      <w:lvlText w:val="•"/>
      <w:lvlJc w:val="left"/>
      <w:pPr>
        <w:tabs>
          <w:tab w:val="num" w:pos="5760"/>
        </w:tabs>
        <w:ind w:left="5760" w:hanging="360"/>
      </w:pPr>
      <w:rPr>
        <w:rFonts w:ascii="Arial" w:hAnsi="Arial" w:hint="default"/>
      </w:rPr>
    </w:lvl>
    <w:lvl w:ilvl="8" w:tplc="950671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9230CB"/>
    <w:multiLevelType w:val="hybridMultilevel"/>
    <w:tmpl w:val="0DF60AD0"/>
    <w:lvl w:ilvl="0" w:tplc="4006743E">
      <w:start w:val="1"/>
      <w:numFmt w:val="bullet"/>
      <w:lvlText w:val="•"/>
      <w:lvlJc w:val="left"/>
      <w:pPr>
        <w:tabs>
          <w:tab w:val="num" w:pos="720"/>
        </w:tabs>
        <w:ind w:left="720" w:hanging="360"/>
      </w:pPr>
      <w:rPr>
        <w:rFonts w:ascii="Arial" w:hAnsi="Arial" w:hint="default"/>
      </w:rPr>
    </w:lvl>
    <w:lvl w:ilvl="1" w:tplc="FD88DF42">
      <w:numFmt w:val="bullet"/>
      <w:lvlText w:val="–"/>
      <w:lvlJc w:val="left"/>
      <w:pPr>
        <w:tabs>
          <w:tab w:val="num" w:pos="1440"/>
        </w:tabs>
        <w:ind w:left="1440" w:hanging="360"/>
      </w:pPr>
      <w:rPr>
        <w:rFonts w:ascii="Arial" w:hAnsi="Arial" w:hint="default"/>
      </w:rPr>
    </w:lvl>
    <w:lvl w:ilvl="2" w:tplc="926CC3E2">
      <w:numFmt w:val="bullet"/>
      <w:lvlText w:val="•"/>
      <w:lvlJc w:val="left"/>
      <w:pPr>
        <w:tabs>
          <w:tab w:val="num" w:pos="2160"/>
        </w:tabs>
        <w:ind w:left="2160" w:hanging="360"/>
      </w:pPr>
      <w:rPr>
        <w:rFonts w:ascii="Arial" w:hAnsi="Arial" w:hint="default"/>
      </w:rPr>
    </w:lvl>
    <w:lvl w:ilvl="3" w:tplc="7256C4AC" w:tentative="1">
      <w:start w:val="1"/>
      <w:numFmt w:val="bullet"/>
      <w:lvlText w:val="•"/>
      <w:lvlJc w:val="left"/>
      <w:pPr>
        <w:tabs>
          <w:tab w:val="num" w:pos="2880"/>
        </w:tabs>
        <w:ind w:left="2880" w:hanging="360"/>
      </w:pPr>
      <w:rPr>
        <w:rFonts w:ascii="Arial" w:hAnsi="Arial" w:hint="default"/>
      </w:rPr>
    </w:lvl>
    <w:lvl w:ilvl="4" w:tplc="8EBA1C9E" w:tentative="1">
      <w:start w:val="1"/>
      <w:numFmt w:val="bullet"/>
      <w:lvlText w:val="•"/>
      <w:lvlJc w:val="left"/>
      <w:pPr>
        <w:tabs>
          <w:tab w:val="num" w:pos="3600"/>
        </w:tabs>
        <w:ind w:left="3600" w:hanging="360"/>
      </w:pPr>
      <w:rPr>
        <w:rFonts w:ascii="Arial" w:hAnsi="Arial" w:hint="default"/>
      </w:rPr>
    </w:lvl>
    <w:lvl w:ilvl="5" w:tplc="1F1CFB9E" w:tentative="1">
      <w:start w:val="1"/>
      <w:numFmt w:val="bullet"/>
      <w:lvlText w:val="•"/>
      <w:lvlJc w:val="left"/>
      <w:pPr>
        <w:tabs>
          <w:tab w:val="num" w:pos="4320"/>
        </w:tabs>
        <w:ind w:left="4320" w:hanging="360"/>
      </w:pPr>
      <w:rPr>
        <w:rFonts w:ascii="Arial" w:hAnsi="Arial" w:hint="default"/>
      </w:rPr>
    </w:lvl>
    <w:lvl w:ilvl="6" w:tplc="7D443578" w:tentative="1">
      <w:start w:val="1"/>
      <w:numFmt w:val="bullet"/>
      <w:lvlText w:val="•"/>
      <w:lvlJc w:val="left"/>
      <w:pPr>
        <w:tabs>
          <w:tab w:val="num" w:pos="5040"/>
        </w:tabs>
        <w:ind w:left="5040" w:hanging="360"/>
      </w:pPr>
      <w:rPr>
        <w:rFonts w:ascii="Arial" w:hAnsi="Arial" w:hint="default"/>
      </w:rPr>
    </w:lvl>
    <w:lvl w:ilvl="7" w:tplc="AC245F8E" w:tentative="1">
      <w:start w:val="1"/>
      <w:numFmt w:val="bullet"/>
      <w:lvlText w:val="•"/>
      <w:lvlJc w:val="left"/>
      <w:pPr>
        <w:tabs>
          <w:tab w:val="num" w:pos="5760"/>
        </w:tabs>
        <w:ind w:left="5760" w:hanging="360"/>
      </w:pPr>
      <w:rPr>
        <w:rFonts w:ascii="Arial" w:hAnsi="Arial" w:hint="default"/>
      </w:rPr>
    </w:lvl>
    <w:lvl w:ilvl="8" w:tplc="697C5A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3"/>
  </w:num>
  <w:num w:numId="8">
    <w:abstractNumId w:val="8"/>
  </w:num>
  <w:num w:numId="9">
    <w:abstractNumId w:val="26"/>
  </w:num>
  <w:num w:numId="10">
    <w:abstractNumId w:val="4"/>
  </w:num>
  <w:num w:numId="11">
    <w:abstractNumId w:val="25"/>
  </w:num>
  <w:num w:numId="12">
    <w:abstractNumId w:val="23"/>
  </w:num>
  <w:num w:numId="13">
    <w:abstractNumId w:val="9"/>
  </w:num>
  <w:num w:numId="14">
    <w:abstractNumId w:val="22"/>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5"/>
  </w:num>
  <w:num w:numId="21">
    <w:abstractNumId w:val="6"/>
  </w:num>
  <w:num w:numId="22">
    <w:abstractNumId w:val="17"/>
  </w:num>
  <w:num w:numId="23">
    <w:abstractNumId w:val="16"/>
  </w:num>
  <w:num w:numId="24">
    <w:abstractNumId w:val="18"/>
  </w:num>
  <w:num w:numId="25">
    <w:abstractNumId w:val="15"/>
  </w:num>
  <w:num w:numId="26">
    <w:abstractNumId w:val="24"/>
  </w:num>
  <w:num w:numId="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70"/>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7A0"/>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284"/>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730"/>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C52"/>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77CBA"/>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CCF"/>
    <w:rsid w:val="000A6FE8"/>
    <w:rsid w:val="000A77F2"/>
    <w:rsid w:val="000B09D0"/>
    <w:rsid w:val="000B0A66"/>
    <w:rsid w:val="000B0A7F"/>
    <w:rsid w:val="000B0DFE"/>
    <w:rsid w:val="000B198C"/>
    <w:rsid w:val="000B2324"/>
    <w:rsid w:val="000B24F8"/>
    <w:rsid w:val="000B2743"/>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3EA"/>
    <w:rsid w:val="000C658B"/>
    <w:rsid w:val="000C662C"/>
    <w:rsid w:val="000C67B3"/>
    <w:rsid w:val="000C6E02"/>
    <w:rsid w:val="000C772F"/>
    <w:rsid w:val="000C7E70"/>
    <w:rsid w:val="000D0027"/>
    <w:rsid w:val="000D0335"/>
    <w:rsid w:val="000D08C9"/>
    <w:rsid w:val="000D1281"/>
    <w:rsid w:val="000D1577"/>
    <w:rsid w:val="000D2B90"/>
    <w:rsid w:val="000D2D65"/>
    <w:rsid w:val="000D3912"/>
    <w:rsid w:val="000D59AC"/>
    <w:rsid w:val="000D6626"/>
    <w:rsid w:val="000D6D54"/>
    <w:rsid w:val="000D7D65"/>
    <w:rsid w:val="000E0C7D"/>
    <w:rsid w:val="000E14B3"/>
    <w:rsid w:val="000E1BB5"/>
    <w:rsid w:val="000E27CF"/>
    <w:rsid w:val="000E448C"/>
    <w:rsid w:val="000E4D00"/>
    <w:rsid w:val="000E548D"/>
    <w:rsid w:val="000E5972"/>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4776"/>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D54"/>
    <w:rsid w:val="00125E2D"/>
    <w:rsid w:val="001260AD"/>
    <w:rsid w:val="001273A9"/>
    <w:rsid w:val="00127D01"/>
    <w:rsid w:val="00127EBB"/>
    <w:rsid w:val="00130026"/>
    <w:rsid w:val="001306B7"/>
    <w:rsid w:val="00130D02"/>
    <w:rsid w:val="00131070"/>
    <w:rsid w:val="00131636"/>
    <w:rsid w:val="00131E70"/>
    <w:rsid w:val="00131E9B"/>
    <w:rsid w:val="00131F9C"/>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060"/>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2C"/>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03F"/>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CBC"/>
    <w:rsid w:val="001A7FFD"/>
    <w:rsid w:val="001B0D18"/>
    <w:rsid w:val="001B11EB"/>
    <w:rsid w:val="001B128B"/>
    <w:rsid w:val="001B1A58"/>
    <w:rsid w:val="001B1B6E"/>
    <w:rsid w:val="001B2031"/>
    <w:rsid w:val="001B286C"/>
    <w:rsid w:val="001B3238"/>
    <w:rsid w:val="001B4146"/>
    <w:rsid w:val="001B41E7"/>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1CF4"/>
    <w:rsid w:val="001D202B"/>
    <w:rsid w:val="001D2A72"/>
    <w:rsid w:val="001D2ABA"/>
    <w:rsid w:val="001D2C8A"/>
    <w:rsid w:val="001D3830"/>
    <w:rsid w:val="001D4501"/>
    <w:rsid w:val="001D47E3"/>
    <w:rsid w:val="001D4863"/>
    <w:rsid w:val="001D4F9E"/>
    <w:rsid w:val="001D5531"/>
    <w:rsid w:val="001D5B5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5D1"/>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4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DAA"/>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391"/>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1F"/>
    <w:rsid w:val="00281A9E"/>
    <w:rsid w:val="002820DA"/>
    <w:rsid w:val="00282ACE"/>
    <w:rsid w:val="00282B68"/>
    <w:rsid w:val="00282EB8"/>
    <w:rsid w:val="00283083"/>
    <w:rsid w:val="002831FD"/>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9F2"/>
    <w:rsid w:val="00292B5F"/>
    <w:rsid w:val="00293688"/>
    <w:rsid w:val="00293F9C"/>
    <w:rsid w:val="00294B67"/>
    <w:rsid w:val="00294B6F"/>
    <w:rsid w:val="00295E04"/>
    <w:rsid w:val="00296DC9"/>
    <w:rsid w:val="00297370"/>
    <w:rsid w:val="00297BFB"/>
    <w:rsid w:val="00297CDF"/>
    <w:rsid w:val="002A00D4"/>
    <w:rsid w:val="002A00DD"/>
    <w:rsid w:val="002A0A2F"/>
    <w:rsid w:val="002A14C6"/>
    <w:rsid w:val="002A1A31"/>
    <w:rsid w:val="002A23D9"/>
    <w:rsid w:val="002A2B47"/>
    <w:rsid w:val="002A2F85"/>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6F61"/>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066"/>
    <w:rsid w:val="002F2198"/>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2C6"/>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172"/>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ACB"/>
    <w:rsid w:val="00340EC0"/>
    <w:rsid w:val="0034111C"/>
    <w:rsid w:val="003411BB"/>
    <w:rsid w:val="00341AF3"/>
    <w:rsid w:val="00341B77"/>
    <w:rsid w:val="00341CDB"/>
    <w:rsid w:val="003429AC"/>
    <w:rsid w:val="00342E44"/>
    <w:rsid w:val="00343102"/>
    <w:rsid w:val="003433C7"/>
    <w:rsid w:val="0034374D"/>
    <w:rsid w:val="00343854"/>
    <w:rsid w:val="00344018"/>
    <w:rsid w:val="003447A5"/>
    <w:rsid w:val="00345F76"/>
    <w:rsid w:val="00346539"/>
    <w:rsid w:val="0034688E"/>
    <w:rsid w:val="00346A2E"/>
    <w:rsid w:val="00346C8B"/>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4A3B"/>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69A1"/>
    <w:rsid w:val="00376FE3"/>
    <w:rsid w:val="00377383"/>
    <w:rsid w:val="0037748F"/>
    <w:rsid w:val="0037751C"/>
    <w:rsid w:val="00377EFD"/>
    <w:rsid w:val="00382BF6"/>
    <w:rsid w:val="00382E9A"/>
    <w:rsid w:val="00383465"/>
    <w:rsid w:val="00384091"/>
    <w:rsid w:val="00384126"/>
    <w:rsid w:val="0038483B"/>
    <w:rsid w:val="00384ABA"/>
    <w:rsid w:val="00384D39"/>
    <w:rsid w:val="00384F0A"/>
    <w:rsid w:val="003850E6"/>
    <w:rsid w:val="0038539F"/>
    <w:rsid w:val="003855CA"/>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4AD"/>
    <w:rsid w:val="00394557"/>
    <w:rsid w:val="00394A1B"/>
    <w:rsid w:val="00395360"/>
    <w:rsid w:val="00395543"/>
    <w:rsid w:val="00395AB4"/>
    <w:rsid w:val="00395FFF"/>
    <w:rsid w:val="00396EFC"/>
    <w:rsid w:val="00397FE0"/>
    <w:rsid w:val="003A082E"/>
    <w:rsid w:val="003A0997"/>
    <w:rsid w:val="003A0EB8"/>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2CD"/>
    <w:rsid w:val="003C6E49"/>
    <w:rsid w:val="003C78B6"/>
    <w:rsid w:val="003C79A7"/>
    <w:rsid w:val="003C7E14"/>
    <w:rsid w:val="003D01A6"/>
    <w:rsid w:val="003D01F4"/>
    <w:rsid w:val="003D04D4"/>
    <w:rsid w:val="003D16B2"/>
    <w:rsid w:val="003D2018"/>
    <w:rsid w:val="003D24D5"/>
    <w:rsid w:val="003D25E7"/>
    <w:rsid w:val="003D28BA"/>
    <w:rsid w:val="003D36EA"/>
    <w:rsid w:val="003D3B25"/>
    <w:rsid w:val="003D3E60"/>
    <w:rsid w:val="003D402B"/>
    <w:rsid w:val="003D429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6BE"/>
    <w:rsid w:val="003E6FF8"/>
    <w:rsid w:val="003E7064"/>
    <w:rsid w:val="003E758E"/>
    <w:rsid w:val="003E7862"/>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0CE3"/>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2E1D"/>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2C81"/>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618"/>
    <w:rsid w:val="00480C33"/>
    <w:rsid w:val="00480C41"/>
    <w:rsid w:val="00481019"/>
    <w:rsid w:val="00481AA4"/>
    <w:rsid w:val="00483261"/>
    <w:rsid w:val="0048336C"/>
    <w:rsid w:val="00483B04"/>
    <w:rsid w:val="00483C8E"/>
    <w:rsid w:val="00483F69"/>
    <w:rsid w:val="0048416A"/>
    <w:rsid w:val="004845F7"/>
    <w:rsid w:val="004845F8"/>
    <w:rsid w:val="00485198"/>
    <w:rsid w:val="00486BFC"/>
    <w:rsid w:val="00486C83"/>
    <w:rsid w:val="00487495"/>
    <w:rsid w:val="00487E07"/>
    <w:rsid w:val="00490B88"/>
    <w:rsid w:val="00490F42"/>
    <w:rsid w:val="00491695"/>
    <w:rsid w:val="004918A2"/>
    <w:rsid w:val="00492CF8"/>
    <w:rsid w:val="00493771"/>
    <w:rsid w:val="004939B6"/>
    <w:rsid w:val="00493CD4"/>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9AD"/>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4D"/>
    <w:rsid w:val="004D35BA"/>
    <w:rsid w:val="004D3FA6"/>
    <w:rsid w:val="004D3FF7"/>
    <w:rsid w:val="004D445E"/>
    <w:rsid w:val="004D4614"/>
    <w:rsid w:val="004D4A5E"/>
    <w:rsid w:val="004D5567"/>
    <w:rsid w:val="004D5752"/>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8FE"/>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1F11"/>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8BE"/>
    <w:rsid w:val="00521BFC"/>
    <w:rsid w:val="00522281"/>
    <w:rsid w:val="00523F0C"/>
    <w:rsid w:val="00525454"/>
    <w:rsid w:val="00526E7B"/>
    <w:rsid w:val="005276E5"/>
    <w:rsid w:val="00527B01"/>
    <w:rsid w:val="00527C79"/>
    <w:rsid w:val="00531E99"/>
    <w:rsid w:val="00532279"/>
    <w:rsid w:val="005327CF"/>
    <w:rsid w:val="00532B17"/>
    <w:rsid w:val="0053328B"/>
    <w:rsid w:val="005339B1"/>
    <w:rsid w:val="00533AC2"/>
    <w:rsid w:val="00533E88"/>
    <w:rsid w:val="00533F71"/>
    <w:rsid w:val="00534181"/>
    <w:rsid w:val="0053452F"/>
    <w:rsid w:val="0053463C"/>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77F"/>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6A09"/>
    <w:rsid w:val="005B7A42"/>
    <w:rsid w:val="005B7EBF"/>
    <w:rsid w:val="005B7F33"/>
    <w:rsid w:val="005B7F82"/>
    <w:rsid w:val="005C03BF"/>
    <w:rsid w:val="005C0FF1"/>
    <w:rsid w:val="005C1550"/>
    <w:rsid w:val="005C1E7B"/>
    <w:rsid w:val="005C2EA3"/>
    <w:rsid w:val="005C369E"/>
    <w:rsid w:val="005C3760"/>
    <w:rsid w:val="005C40C4"/>
    <w:rsid w:val="005C4450"/>
    <w:rsid w:val="005C4C36"/>
    <w:rsid w:val="005C502F"/>
    <w:rsid w:val="005C5A64"/>
    <w:rsid w:val="005C5AF7"/>
    <w:rsid w:val="005C5ED7"/>
    <w:rsid w:val="005C6A95"/>
    <w:rsid w:val="005C6E40"/>
    <w:rsid w:val="005C748C"/>
    <w:rsid w:val="005C7B63"/>
    <w:rsid w:val="005D0100"/>
    <w:rsid w:val="005D05E3"/>
    <w:rsid w:val="005D0890"/>
    <w:rsid w:val="005D10BA"/>
    <w:rsid w:val="005D1447"/>
    <w:rsid w:val="005D22A1"/>
    <w:rsid w:val="005D291F"/>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240"/>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5E85"/>
    <w:rsid w:val="005F6557"/>
    <w:rsid w:val="005F6AFD"/>
    <w:rsid w:val="005F6E34"/>
    <w:rsid w:val="005F7316"/>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245F"/>
    <w:rsid w:val="00613237"/>
    <w:rsid w:val="006132CD"/>
    <w:rsid w:val="00613363"/>
    <w:rsid w:val="00614263"/>
    <w:rsid w:val="006145CC"/>
    <w:rsid w:val="00614ADB"/>
    <w:rsid w:val="00614CD1"/>
    <w:rsid w:val="006150F1"/>
    <w:rsid w:val="00615533"/>
    <w:rsid w:val="00615D1B"/>
    <w:rsid w:val="00616260"/>
    <w:rsid w:val="006169A4"/>
    <w:rsid w:val="00617AD7"/>
    <w:rsid w:val="00617E64"/>
    <w:rsid w:val="00617F8F"/>
    <w:rsid w:val="006200B4"/>
    <w:rsid w:val="0062021A"/>
    <w:rsid w:val="006202B1"/>
    <w:rsid w:val="006209AA"/>
    <w:rsid w:val="0062164D"/>
    <w:rsid w:val="00621770"/>
    <w:rsid w:val="006218C7"/>
    <w:rsid w:val="006218F6"/>
    <w:rsid w:val="0062215F"/>
    <w:rsid w:val="00622702"/>
    <w:rsid w:val="0062286A"/>
    <w:rsid w:val="00622FB6"/>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6AA"/>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3EF"/>
    <w:rsid w:val="00644625"/>
    <w:rsid w:val="00644C01"/>
    <w:rsid w:val="00645AAA"/>
    <w:rsid w:val="00646C13"/>
    <w:rsid w:val="00647276"/>
    <w:rsid w:val="0065002A"/>
    <w:rsid w:val="0065205B"/>
    <w:rsid w:val="00652518"/>
    <w:rsid w:val="006536C7"/>
    <w:rsid w:val="00654408"/>
    <w:rsid w:val="006547EA"/>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182C"/>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A5B"/>
    <w:rsid w:val="006A1EEA"/>
    <w:rsid w:val="006A2A88"/>
    <w:rsid w:val="006A2B35"/>
    <w:rsid w:val="006A3CF1"/>
    <w:rsid w:val="006A3D80"/>
    <w:rsid w:val="006A3EB1"/>
    <w:rsid w:val="006A3ECE"/>
    <w:rsid w:val="006A4D29"/>
    <w:rsid w:val="006A5123"/>
    <w:rsid w:val="006A5595"/>
    <w:rsid w:val="006A5FF7"/>
    <w:rsid w:val="006A6C06"/>
    <w:rsid w:val="006A6E3E"/>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226"/>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2D4"/>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471"/>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614"/>
    <w:rsid w:val="007178FF"/>
    <w:rsid w:val="00717978"/>
    <w:rsid w:val="00720819"/>
    <w:rsid w:val="00720ACA"/>
    <w:rsid w:val="00720B30"/>
    <w:rsid w:val="00720E6B"/>
    <w:rsid w:val="00720FDF"/>
    <w:rsid w:val="007214EE"/>
    <w:rsid w:val="007218A2"/>
    <w:rsid w:val="00721CD1"/>
    <w:rsid w:val="00722055"/>
    <w:rsid w:val="0072235B"/>
    <w:rsid w:val="007229D4"/>
    <w:rsid w:val="00723585"/>
    <w:rsid w:val="0072371A"/>
    <w:rsid w:val="00724375"/>
    <w:rsid w:val="0072442F"/>
    <w:rsid w:val="00724849"/>
    <w:rsid w:val="007253FE"/>
    <w:rsid w:val="00726200"/>
    <w:rsid w:val="00726344"/>
    <w:rsid w:val="007263C5"/>
    <w:rsid w:val="00726439"/>
    <w:rsid w:val="007264E5"/>
    <w:rsid w:val="007267AC"/>
    <w:rsid w:val="00726C6F"/>
    <w:rsid w:val="00726FB1"/>
    <w:rsid w:val="007270E9"/>
    <w:rsid w:val="00727DF5"/>
    <w:rsid w:val="00731397"/>
    <w:rsid w:val="00731F3E"/>
    <w:rsid w:val="00733392"/>
    <w:rsid w:val="0073413F"/>
    <w:rsid w:val="00734250"/>
    <w:rsid w:val="007363C3"/>
    <w:rsid w:val="007365E3"/>
    <w:rsid w:val="0073759E"/>
    <w:rsid w:val="00737667"/>
    <w:rsid w:val="00737CBF"/>
    <w:rsid w:val="00737DB0"/>
    <w:rsid w:val="007407E7"/>
    <w:rsid w:val="00740899"/>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23E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67117"/>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76E2F"/>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CEA"/>
    <w:rsid w:val="007D0113"/>
    <w:rsid w:val="007D0C44"/>
    <w:rsid w:val="007D0D6C"/>
    <w:rsid w:val="007D18DF"/>
    <w:rsid w:val="007D20AB"/>
    <w:rsid w:val="007D214D"/>
    <w:rsid w:val="007D2AA0"/>
    <w:rsid w:val="007D3A69"/>
    <w:rsid w:val="007D3B6C"/>
    <w:rsid w:val="007D3ECF"/>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31C7"/>
    <w:rsid w:val="007E4777"/>
    <w:rsid w:val="007E49AA"/>
    <w:rsid w:val="007E4D66"/>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B33"/>
    <w:rsid w:val="00807C5B"/>
    <w:rsid w:val="0081019A"/>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27DC6"/>
    <w:rsid w:val="008309A3"/>
    <w:rsid w:val="00830E3C"/>
    <w:rsid w:val="0083199F"/>
    <w:rsid w:val="00831F29"/>
    <w:rsid w:val="0083250A"/>
    <w:rsid w:val="00832A52"/>
    <w:rsid w:val="008331FB"/>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37E22"/>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00D7"/>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87C75"/>
    <w:rsid w:val="008900A2"/>
    <w:rsid w:val="00890772"/>
    <w:rsid w:val="00890A5A"/>
    <w:rsid w:val="00891264"/>
    <w:rsid w:val="00891369"/>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A6DED"/>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0FF6"/>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48E"/>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0FB"/>
    <w:rsid w:val="009013EF"/>
    <w:rsid w:val="009016C9"/>
    <w:rsid w:val="00901762"/>
    <w:rsid w:val="0090191F"/>
    <w:rsid w:val="00901C62"/>
    <w:rsid w:val="009034CB"/>
    <w:rsid w:val="00903702"/>
    <w:rsid w:val="00903962"/>
    <w:rsid w:val="00904191"/>
    <w:rsid w:val="00904304"/>
    <w:rsid w:val="0090439A"/>
    <w:rsid w:val="009049EB"/>
    <w:rsid w:val="00904A56"/>
    <w:rsid w:val="00904A88"/>
    <w:rsid w:val="00904C9C"/>
    <w:rsid w:val="00904E5D"/>
    <w:rsid w:val="00905112"/>
    <w:rsid w:val="00905244"/>
    <w:rsid w:val="00906243"/>
    <w:rsid w:val="009063E6"/>
    <w:rsid w:val="0090679F"/>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394"/>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050"/>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34D"/>
    <w:rsid w:val="009726D2"/>
    <w:rsid w:val="00972FE4"/>
    <w:rsid w:val="009730E7"/>
    <w:rsid w:val="0097324C"/>
    <w:rsid w:val="0097330E"/>
    <w:rsid w:val="00973587"/>
    <w:rsid w:val="00974DC5"/>
    <w:rsid w:val="009751BC"/>
    <w:rsid w:val="00975840"/>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4F88"/>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276"/>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1C6"/>
    <w:rsid w:val="009E3580"/>
    <w:rsid w:val="009E35C2"/>
    <w:rsid w:val="009E3F19"/>
    <w:rsid w:val="009E418E"/>
    <w:rsid w:val="009E419A"/>
    <w:rsid w:val="009E4444"/>
    <w:rsid w:val="009E4C48"/>
    <w:rsid w:val="009E5589"/>
    <w:rsid w:val="009E5689"/>
    <w:rsid w:val="009E588F"/>
    <w:rsid w:val="009E5AF5"/>
    <w:rsid w:val="009E5B0C"/>
    <w:rsid w:val="009E6212"/>
    <w:rsid w:val="009E627D"/>
    <w:rsid w:val="009E7121"/>
    <w:rsid w:val="009E7285"/>
    <w:rsid w:val="009E7418"/>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0499"/>
    <w:rsid w:val="00A111E1"/>
    <w:rsid w:val="00A13DCB"/>
    <w:rsid w:val="00A13EC0"/>
    <w:rsid w:val="00A15067"/>
    <w:rsid w:val="00A155CB"/>
    <w:rsid w:val="00A16419"/>
    <w:rsid w:val="00A16D5A"/>
    <w:rsid w:val="00A17143"/>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C9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28C"/>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4CC"/>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4E75"/>
    <w:rsid w:val="00A65371"/>
    <w:rsid w:val="00A65589"/>
    <w:rsid w:val="00A65CD4"/>
    <w:rsid w:val="00A662EC"/>
    <w:rsid w:val="00A66510"/>
    <w:rsid w:val="00A67187"/>
    <w:rsid w:val="00A6753A"/>
    <w:rsid w:val="00A67EC3"/>
    <w:rsid w:val="00A710D4"/>
    <w:rsid w:val="00A71B70"/>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115"/>
    <w:rsid w:val="00A904A1"/>
    <w:rsid w:val="00A906A1"/>
    <w:rsid w:val="00A90AB1"/>
    <w:rsid w:val="00A90ACC"/>
    <w:rsid w:val="00A90B75"/>
    <w:rsid w:val="00A90BE1"/>
    <w:rsid w:val="00A90E9F"/>
    <w:rsid w:val="00A918E6"/>
    <w:rsid w:val="00A91AFB"/>
    <w:rsid w:val="00A92FB2"/>
    <w:rsid w:val="00A938E6"/>
    <w:rsid w:val="00A93B69"/>
    <w:rsid w:val="00A93FE5"/>
    <w:rsid w:val="00A943B4"/>
    <w:rsid w:val="00A94E11"/>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07B"/>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DEB"/>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3A88"/>
    <w:rsid w:val="00B33B11"/>
    <w:rsid w:val="00B34B83"/>
    <w:rsid w:val="00B34C66"/>
    <w:rsid w:val="00B34D47"/>
    <w:rsid w:val="00B34F7F"/>
    <w:rsid w:val="00B3507B"/>
    <w:rsid w:val="00B3523D"/>
    <w:rsid w:val="00B3552D"/>
    <w:rsid w:val="00B3592E"/>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693"/>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5FDE"/>
    <w:rsid w:val="00B960C7"/>
    <w:rsid w:val="00B9643E"/>
    <w:rsid w:val="00B975FF"/>
    <w:rsid w:val="00B97971"/>
    <w:rsid w:val="00BA0966"/>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1D40"/>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69F6"/>
    <w:rsid w:val="00BE705E"/>
    <w:rsid w:val="00BE7F24"/>
    <w:rsid w:val="00BF06E6"/>
    <w:rsid w:val="00BF0F82"/>
    <w:rsid w:val="00BF10BC"/>
    <w:rsid w:val="00BF19C5"/>
    <w:rsid w:val="00BF1FB6"/>
    <w:rsid w:val="00BF2021"/>
    <w:rsid w:val="00BF2967"/>
    <w:rsid w:val="00BF32E3"/>
    <w:rsid w:val="00BF3B5F"/>
    <w:rsid w:val="00BF4471"/>
    <w:rsid w:val="00BF49AC"/>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07C86"/>
    <w:rsid w:val="00C101B6"/>
    <w:rsid w:val="00C10381"/>
    <w:rsid w:val="00C10886"/>
    <w:rsid w:val="00C10C69"/>
    <w:rsid w:val="00C1200B"/>
    <w:rsid w:val="00C123F8"/>
    <w:rsid w:val="00C12A26"/>
    <w:rsid w:val="00C12D40"/>
    <w:rsid w:val="00C12E10"/>
    <w:rsid w:val="00C12EBA"/>
    <w:rsid w:val="00C1324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A74"/>
    <w:rsid w:val="00C50B1E"/>
    <w:rsid w:val="00C515E1"/>
    <w:rsid w:val="00C51A13"/>
    <w:rsid w:val="00C52652"/>
    <w:rsid w:val="00C527DC"/>
    <w:rsid w:val="00C52AC7"/>
    <w:rsid w:val="00C52D2A"/>
    <w:rsid w:val="00C5308C"/>
    <w:rsid w:val="00C53105"/>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28"/>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1EDC"/>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087"/>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0F3"/>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6A0"/>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23E"/>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17"/>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129"/>
    <w:rsid w:val="00D263A4"/>
    <w:rsid w:val="00D26445"/>
    <w:rsid w:val="00D26636"/>
    <w:rsid w:val="00D305E3"/>
    <w:rsid w:val="00D30E10"/>
    <w:rsid w:val="00D32EDB"/>
    <w:rsid w:val="00D331C3"/>
    <w:rsid w:val="00D33F1D"/>
    <w:rsid w:val="00D33F7C"/>
    <w:rsid w:val="00D3482B"/>
    <w:rsid w:val="00D35EA5"/>
    <w:rsid w:val="00D36968"/>
    <w:rsid w:val="00D36AFB"/>
    <w:rsid w:val="00D37236"/>
    <w:rsid w:val="00D375CE"/>
    <w:rsid w:val="00D376B0"/>
    <w:rsid w:val="00D379F2"/>
    <w:rsid w:val="00D37B4F"/>
    <w:rsid w:val="00D402F6"/>
    <w:rsid w:val="00D40679"/>
    <w:rsid w:val="00D40837"/>
    <w:rsid w:val="00D408FE"/>
    <w:rsid w:val="00D4097A"/>
    <w:rsid w:val="00D40B1D"/>
    <w:rsid w:val="00D40B5E"/>
    <w:rsid w:val="00D40FDA"/>
    <w:rsid w:val="00D41104"/>
    <w:rsid w:val="00D41201"/>
    <w:rsid w:val="00D41202"/>
    <w:rsid w:val="00D4123A"/>
    <w:rsid w:val="00D4201C"/>
    <w:rsid w:val="00D4237F"/>
    <w:rsid w:val="00D4261F"/>
    <w:rsid w:val="00D438D3"/>
    <w:rsid w:val="00D4405F"/>
    <w:rsid w:val="00D440F4"/>
    <w:rsid w:val="00D4468F"/>
    <w:rsid w:val="00D44E66"/>
    <w:rsid w:val="00D46CCA"/>
    <w:rsid w:val="00D47C16"/>
    <w:rsid w:val="00D5070C"/>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D7F58"/>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1B80"/>
    <w:rsid w:val="00DF2B23"/>
    <w:rsid w:val="00DF3DD5"/>
    <w:rsid w:val="00DF42F3"/>
    <w:rsid w:val="00DF446D"/>
    <w:rsid w:val="00DF50A7"/>
    <w:rsid w:val="00DF574A"/>
    <w:rsid w:val="00DF63EF"/>
    <w:rsid w:val="00DF6DE6"/>
    <w:rsid w:val="00DF7185"/>
    <w:rsid w:val="00DF7649"/>
    <w:rsid w:val="00DF76D5"/>
    <w:rsid w:val="00E013DA"/>
    <w:rsid w:val="00E013EA"/>
    <w:rsid w:val="00E01820"/>
    <w:rsid w:val="00E0243A"/>
    <w:rsid w:val="00E02463"/>
    <w:rsid w:val="00E025DA"/>
    <w:rsid w:val="00E02C28"/>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0A4"/>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284C"/>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01E"/>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2D78"/>
    <w:rsid w:val="00EA3370"/>
    <w:rsid w:val="00EA34B3"/>
    <w:rsid w:val="00EA433D"/>
    <w:rsid w:val="00EA43F9"/>
    <w:rsid w:val="00EA461F"/>
    <w:rsid w:val="00EA5EFD"/>
    <w:rsid w:val="00EA61F9"/>
    <w:rsid w:val="00EA6EEB"/>
    <w:rsid w:val="00EA7120"/>
    <w:rsid w:val="00EA7931"/>
    <w:rsid w:val="00EA7C0E"/>
    <w:rsid w:val="00EB0590"/>
    <w:rsid w:val="00EB1569"/>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35F"/>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6FF9"/>
    <w:rsid w:val="00EE70D1"/>
    <w:rsid w:val="00EE76A9"/>
    <w:rsid w:val="00EE7B57"/>
    <w:rsid w:val="00EE7F24"/>
    <w:rsid w:val="00EE7FA7"/>
    <w:rsid w:val="00EF0191"/>
    <w:rsid w:val="00EF0555"/>
    <w:rsid w:val="00EF0AD9"/>
    <w:rsid w:val="00EF0E47"/>
    <w:rsid w:val="00EF19C9"/>
    <w:rsid w:val="00EF21C3"/>
    <w:rsid w:val="00EF25CA"/>
    <w:rsid w:val="00EF272B"/>
    <w:rsid w:val="00EF47C7"/>
    <w:rsid w:val="00EF59A2"/>
    <w:rsid w:val="00EF5A32"/>
    <w:rsid w:val="00EF5B80"/>
    <w:rsid w:val="00EF675A"/>
    <w:rsid w:val="00EF6954"/>
    <w:rsid w:val="00F00766"/>
    <w:rsid w:val="00F00BEB"/>
    <w:rsid w:val="00F00CE2"/>
    <w:rsid w:val="00F00D60"/>
    <w:rsid w:val="00F01256"/>
    <w:rsid w:val="00F01450"/>
    <w:rsid w:val="00F01535"/>
    <w:rsid w:val="00F0168B"/>
    <w:rsid w:val="00F02FBE"/>
    <w:rsid w:val="00F03143"/>
    <w:rsid w:val="00F033EF"/>
    <w:rsid w:val="00F045A5"/>
    <w:rsid w:val="00F050D0"/>
    <w:rsid w:val="00F05760"/>
    <w:rsid w:val="00F05AE7"/>
    <w:rsid w:val="00F05B87"/>
    <w:rsid w:val="00F0620A"/>
    <w:rsid w:val="00F062AE"/>
    <w:rsid w:val="00F064CD"/>
    <w:rsid w:val="00F06591"/>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422E"/>
    <w:rsid w:val="00F5529C"/>
    <w:rsid w:val="00F55AF3"/>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775"/>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3970"/>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15"/>
    <w:rsid w:val="00FB028E"/>
    <w:rsid w:val="00FB03A1"/>
    <w:rsid w:val="00FB09AD"/>
    <w:rsid w:val="00FB18B4"/>
    <w:rsid w:val="00FB1C7D"/>
    <w:rsid w:val="00FB2379"/>
    <w:rsid w:val="00FB2750"/>
    <w:rsid w:val="00FB281A"/>
    <w:rsid w:val="00FB3106"/>
    <w:rsid w:val="00FB3C44"/>
    <w:rsid w:val="00FB42B3"/>
    <w:rsid w:val="00FB484F"/>
    <w:rsid w:val="00FB52C9"/>
    <w:rsid w:val="00FB53A8"/>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663"/>
    <w:rsid w:val="00FD3BCE"/>
    <w:rsid w:val="00FD3D0B"/>
    <w:rsid w:val="00FD409B"/>
    <w:rsid w:val="00FD4C08"/>
    <w:rsid w:val="00FD5B72"/>
    <w:rsid w:val="00FD5F2D"/>
    <w:rsid w:val="00FD60EC"/>
    <w:rsid w:val="00FD66BB"/>
    <w:rsid w:val="00FD6C31"/>
    <w:rsid w:val="00FD703E"/>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E2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76E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E2F"/>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7695689">
      <w:bodyDiv w:val="1"/>
      <w:marLeft w:val="0"/>
      <w:marRight w:val="0"/>
      <w:marTop w:val="0"/>
      <w:marBottom w:val="0"/>
      <w:divBdr>
        <w:top w:val="none" w:sz="0" w:space="0" w:color="auto"/>
        <w:left w:val="none" w:sz="0" w:space="0" w:color="auto"/>
        <w:bottom w:val="none" w:sz="0" w:space="0" w:color="auto"/>
        <w:right w:val="none" w:sz="0" w:space="0" w:color="auto"/>
      </w:divBdr>
      <w:divsChild>
        <w:div w:id="398867890">
          <w:marLeft w:val="547"/>
          <w:marRight w:val="0"/>
          <w:marTop w:val="106"/>
          <w:marBottom w:val="0"/>
          <w:divBdr>
            <w:top w:val="none" w:sz="0" w:space="0" w:color="auto"/>
            <w:left w:val="none" w:sz="0" w:space="0" w:color="auto"/>
            <w:bottom w:val="none" w:sz="0" w:space="0" w:color="auto"/>
            <w:right w:val="none" w:sz="0" w:space="0" w:color="auto"/>
          </w:divBdr>
        </w:div>
        <w:div w:id="1937905230">
          <w:marLeft w:val="1166"/>
          <w:marRight w:val="0"/>
          <w:marTop w:val="96"/>
          <w:marBottom w:val="0"/>
          <w:divBdr>
            <w:top w:val="none" w:sz="0" w:space="0" w:color="auto"/>
            <w:left w:val="none" w:sz="0" w:space="0" w:color="auto"/>
            <w:bottom w:val="none" w:sz="0" w:space="0" w:color="auto"/>
            <w:right w:val="none" w:sz="0" w:space="0" w:color="auto"/>
          </w:divBdr>
        </w:div>
        <w:div w:id="815027771">
          <w:marLeft w:val="1166"/>
          <w:marRight w:val="0"/>
          <w:marTop w:val="96"/>
          <w:marBottom w:val="0"/>
          <w:divBdr>
            <w:top w:val="none" w:sz="0" w:space="0" w:color="auto"/>
            <w:left w:val="none" w:sz="0" w:space="0" w:color="auto"/>
            <w:bottom w:val="none" w:sz="0" w:space="0" w:color="auto"/>
            <w:right w:val="none" w:sz="0" w:space="0" w:color="auto"/>
          </w:divBdr>
        </w:div>
        <w:div w:id="308704547">
          <w:marLeft w:val="1800"/>
          <w:marRight w:val="0"/>
          <w:marTop w:val="96"/>
          <w:marBottom w:val="0"/>
          <w:divBdr>
            <w:top w:val="none" w:sz="0" w:space="0" w:color="auto"/>
            <w:left w:val="none" w:sz="0" w:space="0" w:color="auto"/>
            <w:bottom w:val="none" w:sz="0" w:space="0" w:color="auto"/>
            <w:right w:val="none" w:sz="0" w:space="0" w:color="auto"/>
          </w:divBdr>
        </w:div>
        <w:div w:id="1337659507">
          <w:marLeft w:val="1800"/>
          <w:marRight w:val="0"/>
          <w:marTop w:val="96"/>
          <w:marBottom w:val="0"/>
          <w:divBdr>
            <w:top w:val="none" w:sz="0" w:space="0" w:color="auto"/>
            <w:left w:val="none" w:sz="0" w:space="0" w:color="auto"/>
            <w:bottom w:val="none" w:sz="0" w:space="0" w:color="auto"/>
            <w:right w:val="none" w:sz="0" w:space="0" w:color="auto"/>
          </w:divBdr>
        </w:div>
        <w:div w:id="646395065">
          <w:marLeft w:val="1166"/>
          <w:marRight w:val="0"/>
          <w:marTop w:val="96"/>
          <w:marBottom w:val="0"/>
          <w:divBdr>
            <w:top w:val="none" w:sz="0" w:space="0" w:color="auto"/>
            <w:left w:val="none" w:sz="0" w:space="0" w:color="auto"/>
            <w:bottom w:val="none" w:sz="0" w:space="0" w:color="auto"/>
            <w:right w:val="none" w:sz="0" w:space="0" w:color="auto"/>
          </w:divBdr>
        </w:div>
        <w:div w:id="1536192559">
          <w:marLeft w:val="1800"/>
          <w:marRight w:val="0"/>
          <w:marTop w:val="96"/>
          <w:marBottom w:val="0"/>
          <w:divBdr>
            <w:top w:val="none" w:sz="0" w:space="0" w:color="auto"/>
            <w:left w:val="none" w:sz="0" w:space="0" w:color="auto"/>
            <w:bottom w:val="none" w:sz="0" w:space="0" w:color="auto"/>
            <w:right w:val="none" w:sz="0" w:space="0" w:color="auto"/>
          </w:divBdr>
        </w:div>
        <w:div w:id="2133940884">
          <w:marLeft w:val="1800"/>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894561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5876861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79361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846499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202220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95865421">
      <w:bodyDiv w:val="1"/>
      <w:marLeft w:val="0"/>
      <w:marRight w:val="0"/>
      <w:marTop w:val="0"/>
      <w:marBottom w:val="0"/>
      <w:divBdr>
        <w:top w:val="none" w:sz="0" w:space="0" w:color="auto"/>
        <w:left w:val="none" w:sz="0" w:space="0" w:color="auto"/>
        <w:bottom w:val="none" w:sz="0" w:space="0" w:color="auto"/>
        <w:right w:val="none" w:sz="0" w:space="0" w:color="auto"/>
      </w:divBdr>
      <w:divsChild>
        <w:div w:id="790708145">
          <w:marLeft w:val="1166"/>
          <w:marRight w:val="0"/>
          <w:marTop w:val="86"/>
          <w:marBottom w:val="0"/>
          <w:divBdr>
            <w:top w:val="none" w:sz="0" w:space="0" w:color="auto"/>
            <w:left w:val="none" w:sz="0" w:space="0" w:color="auto"/>
            <w:bottom w:val="none" w:sz="0" w:space="0" w:color="auto"/>
            <w:right w:val="none" w:sz="0" w:space="0" w:color="auto"/>
          </w:divBdr>
        </w:div>
        <w:div w:id="855850470">
          <w:marLeft w:val="1166"/>
          <w:marRight w:val="0"/>
          <w:marTop w:val="8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4963571">
      <w:bodyDiv w:val="1"/>
      <w:marLeft w:val="0"/>
      <w:marRight w:val="0"/>
      <w:marTop w:val="0"/>
      <w:marBottom w:val="0"/>
      <w:divBdr>
        <w:top w:val="none" w:sz="0" w:space="0" w:color="auto"/>
        <w:left w:val="none" w:sz="0" w:space="0" w:color="auto"/>
        <w:bottom w:val="none" w:sz="0" w:space="0" w:color="auto"/>
        <w:right w:val="none" w:sz="0" w:space="0" w:color="auto"/>
      </w:divBdr>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397625139">
      <w:bodyDiv w:val="1"/>
      <w:marLeft w:val="0"/>
      <w:marRight w:val="0"/>
      <w:marTop w:val="0"/>
      <w:marBottom w:val="0"/>
      <w:divBdr>
        <w:top w:val="none" w:sz="0" w:space="0" w:color="auto"/>
        <w:left w:val="none" w:sz="0" w:space="0" w:color="auto"/>
        <w:bottom w:val="none" w:sz="0" w:space="0" w:color="auto"/>
        <w:right w:val="none" w:sz="0" w:space="0" w:color="auto"/>
      </w:divBdr>
      <w:divsChild>
        <w:div w:id="1059861850">
          <w:marLeft w:val="547"/>
          <w:marRight w:val="0"/>
          <w:marTop w:val="14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966362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7703003">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531551">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2417478">
      <w:bodyDiv w:val="1"/>
      <w:marLeft w:val="0"/>
      <w:marRight w:val="0"/>
      <w:marTop w:val="0"/>
      <w:marBottom w:val="0"/>
      <w:divBdr>
        <w:top w:val="none" w:sz="0" w:space="0" w:color="auto"/>
        <w:left w:val="none" w:sz="0" w:space="0" w:color="auto"/>
        <w:bottom w:val="none" w:sz="0" w:space="0" w:color="auto"/>
        <w:right w:val="none" w:sz="0" w:space="0" w:color="auto"/>
      </w:divBdr>
      <w:divsChild>
        <w:div w:id="220137081">
          <w:marLeft w:val="547"/>
          <w:marRight w:val="0"/>
          <w:marTop w:val="96"/>
          <w:marBottom w:val="0"/>
          <w:divBdr>
            <w:top w:val="none" w:sz="0" w:space="0" w:color="auto"/>
            <w:left w:val="none" w:sz="0" w:space="0" w:color="auto"/>
            <w:bottom w:val="none" w:sz="0" w:space="0" w:color="auto"/>
            <w:right w:val="none" w:sz="0" w:space="0" w:color="auto"/>
          </w:divBdr>
        </w:div>
        <w:div w:id="1367103761">
          <w:marLeft w:val="1166"/>
          <w:marRight w:val="0"/>
          <w:marTop w:val="86"/>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e287729386fe4cb3d59f1987d74c025e">
  <xsd:schema xmlns:xsd="http://www.w3.org/2001/XMLSchema" xmlns:xs="http://www.w3.org/2001/XMLSchema" xmlns:p="http://schemas.microsoft.com/office/2006/metadata/properties" xmlns:ns3="a915fe38-2618-47b6-8303-829fb71466d5" targetNamespace="http://schemas.microsoft.com/office/2006/metadata/properties" ma:root="true" ma:fieldsID="c3f217f674dbb6928c54a944cc809be9"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A41BAB-EE3A-4125-A395-F4301E24C38F}">
  <ds:schemaRefs>
    <ds:schemaRef ds:uri="http://schemas.openxmlformats.org/officeDocument/2006/bibliography"/>
  </ds:schemaRefs>
</ds:datastoreItem>
</file>

<file path=customXml/itemProps2.xml><?xml version="1.0" encoding="utf-8"?>
<ds:datastoreItem xmlns:ds="http://schemas.openxmlformats.org/officeDocument/2006/customXml" ds:itemID="{B5B32471-3F69-4784-BF0B-BA3C9E79FE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9D74C0-EA6B-4227-BAF5-D0DA4C0203CD}">
  <ds:schemaRefs>
    <ds:schemaRef ds:uri="http://schemas.microsoft.com/sharepoint/v3/contenttype/forms"/>
  </ds:schemaRefs>
</ds:datastoreItem>
</file>

<file path=customXml/itemProps4.xml><?xml version="1.0" encoding="utf-8"?>
<ds:datastoreItem xmlns:ds="http://schemas.openxmlformats.org/officeDocument/2006/customXml" ds:itemID="{5F513EFF-0BD5-405B-A1EC-DA08C87C7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745</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4834</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2022-02-14T09:00:00Z</dcterms:created>
  <dcterms:modified xsi:type="dcterms:W3CDTF">2022-02-14T09:06:00Z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